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6558" w:rsidP="345A7029" w:rsidRDefault="009D71E8" w14:paraId="2A7D54B1" w14:textId="40B3E9DC">
      <w:pPr>
        <w:pStyle w:val="Heading1"/>
        <w:rPr>
          <w:sz w:val="32"/>
          <w:szCs w:val="32"/>
        </w:rPr>
      </w:pPr>
      <w:bookmarkStart w:name="_Toc400361362" w:id="0"/>
      <w:bookmarkStart w:name="_Toc443397153" w:id="1"/>
      <w:bookmarkStart w:name="_Toc357771638" w:id="2"/>
      <w:bookmarkStart w:name="_Toc346793416" w:id="3"/>
      <w:bookmarkStart w:name="_Toc328122777" w:id="4"/>
      <w:r w:rsidRPr="345A7029">
        <w:rPr>
          <w:sz w:val="32"/>
          <w:szCs w:val="32"/>
        </w:rPr>
        <w:t>Pupil premium strategy statement</w:t>
      </w:r>
      <w:bookmarkStart w:name="_Toc338167830" w:id="5"/>
      <w:bookmarkStart w:name="_Toc361136403" w:id="6"/>
      <w:bookmarkStart w:name="_Toc364235708" w:id="7"/>
      <w:bookmarkStart w:name="_Toc364235752" w:id="8"/>
      <w:bookmarkStart w:name="_Toc364235834" w:id="9"/>
      <w:bookmarkStart w:name="_Toc364840099" w:id="10"/>
      <w:bookmarkStart w:name="_Toc364864309" w:id="11"/>
      <w:bookmarkStart w:name="_Toc400361364" w:id="12"/>
      <w:bookmarkStart w:name="_Toc443397154" w:id="13"/>
      <w:bookmarkEnd w:id="0"/>
      <w:bookmarkEnd w:id="1"/>
      <w:r w:rsidRPr="345A7029" w:rsidR="00BA68E7">
        <w:rPr>
          <w:sz w:val="32"/>
          <w:szCs w:val="32"/>
        </w:rPr>
        <w:t xml:space="preserve"> NSN </w:t>
      </w:r>
    </w:p>
    <w:p w:rsidR="00E66558" w:rsidP="345A7029" w:rsidRDefault="009D71E8" w14:paraId="2A7D54B2" w14:textId="5857F6DA">
      <w:pPr>
        <w:pStyle w:val="Heading2"/>
        <w:rPr>
          <w:b w:val="0"/>
          <w:color w:val="auto"/>
          <w:sz w:val="20"/>
          <w:szCs w:val="20"/>
        </w:rPr>
      </w:pPr>
      <w:r w:rsidRPr="345A7029">
        <w:rPr>
          <w:b w:val="0"/>
          <w:color w:val="auto"/>
          <w:sz w:val="20"/>
          <w:szCs w:val="20"/>
        </w:rPr>
        <w:t>This statement details our school’s use of pupil premium (and recovery premium for the 2021 to 2022 academic year) funding to help improve the attainment of our disadvantaged pupils.</w:t>
      </w:r>
    </w:p>
    <w:p w:rsidR="00E66558" w:rsidP="345A7029" w:rsidRDefault="009D71E8" w14:paraId="2A7D54B3" w14:textId="77777777">
      <w:pPr>
        <w:pStyle w:val="Heading2"/>
        <w:spacing w:before="240"/>
        <w:rPr>
          <w:b w:val="0"/>
          <w:color w:val="auto"/>
          <w:sz w:val="20"/>
          <w:szCs w:val="20"/>
        </w:rPr>
      </w:pPr>
      <w:r w:rsidRPr="345A7029">
        <w:rPr>
          <w:b w:val="0"/>
          <w:color w:val="auto"/>
          <w:sz w:val="20"/>
          <w:szCs w:val="20"/>
        </w:rPr>
        <w:t xml:space="preserve">It outlines our pupil premium strategy, how we intend to spend the funding in this academic year and the effect that last year’s spending of pupil premium had within our school. </w:t>
      </w:r>
    </w:p>
    <w:p w:rsidR="00E66558" w:rsidP="345A7029" w:rsidRDefault="009D71E8" w14:paraId="2A7D54B4" w14:textId="77777777">
      <w:pPr>
        <w:pStyle w:val="Heading2"/>
        <w:rPr>
          <w:sz w:val="24"/>
          <w:szCs w:val="24"/>
        </w:rPr>
      </w:pPr>
      <w:r w:rsidRPr="345A7029">
        <w:rPr>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986"/>
        <w:gridCol w:w="3182"/>
      </w:tblGrid>
      <w:tr w:rsidR="00E66558" w:rsidTr="4343E156" w14:paraId="2A7D54B7"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5" w14:textId="77777777">
            <w:pPr>
              <w:pStyle w:val="TableHeader"/>
              <w:jc w:val="left"/>
            </w:pPr>
            <w:r>
              <w:t>Detail</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B6" w14:textId="77777777">
            <w:pPr>
              <w:pStyle w:val="TableHeader"/>
              <w:jc w:val="left"/>
            </w:pPr>
            <w:r>
              <w:t>Data</w:t>
            </w:r>
          </w:p>
        </w:tc>
      </w:tr>
      <w:tr w:rsidR="00E66558" w:rsidTr="4343E156" w14:paraId="2A7D54BA"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9D71E8" w14:paraId="2A7D54B8" w14:textId="77777777">
            <w:pPr>
              <w:pStyle w:val="TableRow"/>
              <w:rPr>
                <w:sz w:val="20"/>
                <w:szCs w:val="20"/>
              </w:rPr>
            </w:pPr>
            <w:r w:rsidRPr="345A7029">
              <w:rPr>
                <w:sz w:val="20"/>
                <w:szCs w:val="20"/>
              </w:rPr>
              <w:t>School name</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7644621F" w14:paraId="2A7D54B9" w14:textId="3C9721C5">
            <w:pPr>
              <w:pStyle w:val="TableRow"/>
              <w:rPr>
                <w:sz w:val="20"/>
                <w:szCs w:val="20"/>
              </w:rPr>
            </w:pPr>
            <w:r w:rsidRPr="345A7029">
              <w:rPr>
                <w:sz w:val="20"/>
                <w:szCs w:val="20"/>
              </w:rPr>
              <w:t>Northfield St Nicholas Primary Academy</w:t>
            </w:r>
          </w:p>
        </w:tc>
      </w:tr>
      <w:tr w:rsidR="00E66558" w:rsidTr="4343E156" w14:paraId="2A7D54BD"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9D71E8" w14:paraId="2A7D54BB" w14:textId="77777777">
            <w:pPr>
              <w:pStyle w:val="TableRow"/>
              <w:rPr>
                <w:sz w:val="20"/>
                <w:szCs w:val="20"/>
              </w:rPr>
            </w:pPr>
            <w:r w:rsidRPr="345A7029">
              <w:rPr>
                <w:sz w:val="20"/>
                <w:szCs w:val="20"/>
              </w:rPr>
              <w:t xml:space="preserve">Number of pupils in school </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E66558" w14:paraId="2A7D54BC" w14:textId="204C5A4D">
            <w:pPr>
              <w:pStyle w:val="TableRow"/>
              <w:rPr>
                <w:sz w:val="20"/>
                <w:szCs w:val="20"/>
              </w:rPr>
            </w:pPr>
          </w:p>
        </w:tc>
      </w:tr>
      <w:tr w:rsidR="00E66558" w:rsidTr="4343E156" w14:paraId="2A7D54C0"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9D71E8" w14:paraId="2A7D54BE" w14:textId="204C5A4D">
            <w:pPr>
              <w:pStyle w:val="TableRow"/>
              <w:rPr>
                <w:sz w:val="20"/>
                <w:szCs w:val="20"/>
              </w:rPr>
            </w:pPr>
            <w:r w:rsidRPr="4343E156">
              <w:rPr>
                <w:sz w:val="20"/>
                <w:szCs w:val="20"/>
              </w:rPr>
              <w:t>Proportion (%) of pupil premium eligible pupils</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17FD0261" w14:paraId="2A7D54BF" w14:textId="4361A5A7">
            <w:pPr>
              <w:pStyle w:val="TableRow"/>
              <w:rPr>
                <w:sz w:val="20"/>
                <w:szCs w:val="20"/>
              </w:rPr>
            </w:pPr>
            <w:r w:rsidRPr="345A7029">
              <w:rPr>
                <w:sz w:val="20"/>
                <w:szCs w:val="20"/>
              </w:rPr>
              <w:t>47%</w:t>
            </w:r>
          </w:p>
        </w:tc>
      </w:tr>
      <w:tr w:rsidR="00E66558" w:rsidTr="4343E156" w14:paraId="2A7D54C3"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73844F96" w14:paraId="2A7D54C1" w14:textId="26925B25">
            <w:pPr>
              <w:pStyle w:val="TableRow"/>
              <w:rPr>
                <w:b/>
                <w:bCs/>
                <w:sz w:val="20"/>
                <w:szCs w:val="20"/>
              </w:rPr>
            </w:pPr>
            <w:r w:rsidRPr="345A7029">
              <w:rPr>
                <w:sz w:val="20"/>
                <w:szCs w:val="20"/>
              </w:rPr>
              <w:t xml:space="preserve">Academic year/years that our current pupil premium strategy plan covers </w:t>
            </w:r>
            <w:r w:rsidRPr="345A7029">
              <w:rPr>
                <w:b/>
                <w:bCs/>
                <w:sz w:val="20"/>
                <w:szCs w:val="20"/>
              </w:rPr>
              <w:t>(</w:t>
            </w:r>
            <w:r w:rsidRPr="345A7029" w:rsidR="749CE4A9">
              <w:rPr>
                <w:b/>
                <w:bCs/>
                <w:sz w:val="20"/>
                <w:szCs w:val="20"/>
              </w:rPr>
              <w:t>3-year</w:t>
            </w:r>
            <w:r w:rsidRPr="345A7029">
              <w:rPr>
                <w:b/>
                <w:bCs/>
                <w:sz w:val="20"/>
                <w:szCs w:val="20"/>
              </w:rPr>
              <w:t xml:space="preserve"> plans are recommended)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3474440A" w14:paraId="2A7D54C2" w14:textId="2FBB3DA1">
            <w:pPr>
              <w:pStyle w:val="TableRow"/>
              <w:rPr>
                <w:sz w:val="20"/>
                <w:szCs w:val="20"/>
              </w:rPr>
            </w:pPr>
            <w:r w:rsidRPr="345A7029">
              <w:rPr>
                <w:sz w:val="20"/>
                <w:szCs w:val="20"/>
              </w:rPr>
              <w:t>2024</w:t>
            </w:r>
          </w:p>
        </w:tc>
      </w:tr>
      <w:tr w:rsidR="00E66558" w:rsidTr="4343E156" w14:paraId="2A7D54C6"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9D71E8" w14:paraId="2A7D54C4" w14:textId="77777777">
            <w:pPr>
              <w:pStyle w:val="TableRow"/>
              <w:rPr>
                <w:sz w:val="20"/>
                <w:szCs w:val="20"/>
              </w:rPr>
            </w:pPr>
            <w:r w:rsidRPr="345A7029">
              <w:rPr>
                <w:sz w:val="20"/>
                <w:szCs w:val="20"/>
              </w:rPr>
              <w:t>Date this statement was published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6DB56C2B" w14:paraId="2A7D54C5" w14:textId="42BF4AF2">
            <w:pPr>
              <w:pStyle w:val="TableRow"/>
              <w:rPr>
                <w:sz w:val="20"/>
                <w:szCs w:val="20"/>
              </w:rPr>
            </w:pPr>
            <w:r w:rsidRPr="345A7029">
              <w:rPr>
                <w:sz w:val="20"/>
                <w:szCs w:val="20"/>
              </w:rPr>
              <w:t>5/11/21</w:t>
            </w:r>
          </w:p>
        </w:tc>
      </w:tr>
      <w:tr w:rsidR="00E66558" w:rsidTr="4343E156" w14:paraId="2A7D54C9"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9D71E8" w14:paraId="2A7D54C7" w14:textId="77777777">
            <w:pPr>
              <w:pStyle w:val="TableRow"/>
              <w:rPr>
                <w:sz w:val="20"/>
                <w:szCs w:val="20"/>
              </w:rPr>
            </w:pPr>
            <w:r w:rsidRPr="345A7029">
              <w:rPr>
                <w:sz w:val="20"/>
                <w:szCs w:val="20"/>
              </w:rPr>
              <w:t>Date on which it will be reviewed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4857B59E" w14:paraId="2A7D54C8" w14:textId="392F64F6">
            <w:pPr>
              <w:pStyle w:val="TableRow"/>
              <w:rPr>
                <w:sz w:val="20"/>
                <w:szCs w:val="20"/>
              </w:rPr>
            </w:pPr>
            <w:r w:rsidRPr="345A7029">
              <w:rPr>
                <w:sz w:val="20"/>
                <w:szCs w:val="20"/>
              </w:rPr>
              <w:t>1/11/22</w:t>
            </w:r>
          </w:p>
        </w:tc>
      </w:tr>
      <w:tr w:rsidR="00E66558" w:rsidTr="4343E156" w14:paraId="2A7D54CC"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9D71E8" w14:paraId="2A7D54CA" w14:textId="77777777">
            <w:pPr>
              <w:pStyle w:val="TableRow"/>
              <w:rPr>
                <w:sz w:val="20"/>
                <w:szCs w:val="20"/>
              </w:rPr>
            </w:pPr>
            <w:r w:rsidRPr="345A7029">
              <w:rPr>
                <w:sz w:val="20"/>
                <w:szCs w:val="20"/>
              </w:rPr>
              <w:t>Statement authorised by</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4779F71D" w14:paraId="2A7D54CB" w14:textId="79A9CE29">
            <w:pPr>
              <w:pStyle w:val="TableRow"/>
              <w:rPr>
                <w:sz w:val="20"/>
                <w:szCs w:val="20"/>
              </w:rPr>
            </w:pPr>
            <w:r w:rsidRPr="345A7029">
              <w:rPr>
                <w:sz w:val="20"/>
                <w:szCs w:val="20"/>
              </w:rPr>
              <w:t>Nicola Richards (DDoE)</w:t>
            </w:r>
          </w:p>
        </w:tc>
      </w:tr>
      <w:tr w:rsidR="00E66558" w:rsidTr="4343E156" w14:paraId="2A7D54CF"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9D71E8" w14:paraId="2A7D54CD" w14:textId="77777777">
            <w:pPr>
              <w:pStyle w:val="TableRow"/>
              <w:rPr>
                <w:sz w:val="20"/>
                <w:szCs w:val="20"/>
              </w:rPr>
            </w:pPr>
            <w:r w:rsidRPr="345A7029">
              <w:rPr>
                <w:sz w:val="20"/>
                <w:szCs w:val="20"/>
              </w:rPr>
              <w:t>Pupil premium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EB07A2F" w14:paraId="2A7D54CE" w14:textId="184A93B6">
            <w:pPr>
              <w:pStyle w:val="TableRow"/>
              <w:rPr>
                <w:sz w:val="20"/>
                <w:szCs w:val="20"/>
              </w:rPr>
            </w:pPr>
            <w:r w:rsidRPr="345A7029">
              <w:rPr>
                <w:sz w:val="20"/>
                <w:szCs w:val="20"/>
              </w:rPr>
              <w:t xml:space="preserve">Julie Catchpole </w:t>
            </w:r>
            <w:r w:rsidRPr="345A7029" w:rsidR="2117CEDC">
              <w:rPr>
                <w:sz w:val="20"/>
                <w:szCs w:val="20"/>
              </w:rPr>
              <w:t>(DHT)</w:t>
            </w:r>
          </w:p>
        </w:tc>
      </w:tr>
      <w:tr w:rsidR="00E66558" w:rsidTr="4343E156" w14:paraId="2A7D54D2" w14:textId="77777777">
        <w:tc>
          <w:tcPr>
            <w:tcW w:w="65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9D71E8" w14:paraId="2A7D54D0" w14:textId="77777777">
            <w:pPr>
              <w:pStyle w:val="TableRow"/>
              <w:rPr>
                <w:sz w:val="20"/>
                <w:szCs w:val="20"/>
              </w:rPr>
            </w:pPr>
            <w:r w:rsidRPr="345A7029">
              <w:rPr>
                <w:sz w:val="20"/>
                <w:szCs w:val="20"/>
              </w:rPr>
              <w:t>Governor / Trustee lead</w:t>
            </w:r>
          </w:p>
        </w:tc>
        <w:tc>
          <w:tcPr>
            <w:tcW w:w="29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6E6B2173" w14:paraId="2A7D54D1" w14:textId="1080AB3B">
            <w:pPr>
              <w:pStyle w:val="TableRow"/>
              <w:rPr>
                <w:sz w:val="20"/>
                <w:szCs w:val="20"/>
              </w:rPr>
            </w:pPr>
            <w:r w:rsidRPr="345A7029">
              <w:rPr>
                <w:sz w:val="20"/>
                <w:szCs w:val="20"/>
              </w:rPr>
              <w:t>Catharine Earl</w:t>
            </w:r>
            <w:r w:rsidRPr="345A7029" w:rsidR="1986BB67">
              <w:rPr>
                <w:sz w:val="20"/>
                <w:szCs w:val="20"/>
              </w:rPr>
              <w:t xml:space="preserve"> (CofG)</w:t>
            </w:r>
          </w:p>
        </w:tc>
      </w:tr>
    </w:tbl>
    <w:bookmarkEnd w:id="2"/>
    <w:bookmarkEnd w:id="3"/>
    <w:bookmarkEnd w:id="4"/>
    <w:p w:rsidR="00E66558" w:rsidP="345A7029" w:rsidRDefault="009D71E8" w14:paraId="2A7D54D3" w14:textId="77777777">
      <w:pPr>
        <w:spacing w:before="480" w:line="240" w:lineRule="auto"/>
        <w:rPr>
          <w:b/>
          <w:bCs/>
          <w:color w:val="104F75"/>
        </w:rPr>
      </w:pPr>
      <w:r w:rsidRPr="345A7029">
        <w:rPr>
          <w:b/>
          <w:bCs/>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Tr="345A7029" w14:paraId="2A7D54D6"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4" w14:textId="77777777">
            <w:pPr>
              <w:pStyle w:val="TableRow"/>
            </w:pPr>
            <w:r>
              <w:rPr>
                <w:b/>
              </w:rPr>
              <w:t>Detail</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vAlign w:val="center"/>
          </w:tcPr>
          <w:p w:rsidR="00E66558" w:rsidRDefault="009D71E8" w14:paraId="2A7D54D5" w14:textId="77777777">
            <w:pPr>
              <w:pStyle w:val="TableRow"/>
            </w:pPr>
            <w:r>
              <w:rPr>
                <w:b/>
              </w:rPr>
              <w:t>Amount</w:t>
            </w:r>
          </w:p>
        </w:tc>
      </w:tr>
      <w:tr w:rsidR="00E66558" w:rsidTr="345A7029" w14:paraId="2A7D54D9"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P="345A7029" w:rsidRDefault="009D71E8" w14:paraId="2A7D54D7" w14:textId="77777777">
            <w:pPr>
              <w:pStyle w:val="TableRow"/>
              <w:rPr>
                <w:rFonts w:eastAsia="Arial" w:cs="Arial"/>
                <w:sz w:val="20"/>
                <w:szCs w:val="20"/>
              </w:rPr>
            </w:pPr>
            <w:r w:rsidRPr="345A7029">
              <w:rPr>
                <w:rFonts w:eastAsia="Arial" w:cs="Arial"/>
                <w:sz w:val="20"/>
                <w:szCs w:val="20"/>
              </w:rPr>
              <w:t>Pupil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73844F96" w14:paraId="2A7D54D8" w14:textId="5FFB9FC8">
            <w:pPr>
              <w:pStyle w:val="TableRow"/>
              <w:rPr>
                <w:rFonts w:eastAsia="Arial" w:cs="Arial"/>
                <w:sz w:val="20"/>
                <w:szCs w:val="20"/>
              </w:rPr>
            </w:pPr>
            <w:r w:rsidRPr="345A7029">
              <w:rPr>
                <w:rFonts w:eastAsia="Arial" w:cs="Arial"/>
                <w:sz w:val="20"/>
                <w:szCs w:val="20"/>
              </w:rPr>
              <w:t>£</w:t>
            </w:r>
            <w:r w:rsidRPr="345A7029" w:rsidR="4A79A13A">
              <w:rPr>
                <w:rFonts w:eastAsia="Arial" w:cs="Arial"/>
                <w:sz w:val="20"/>
                <w:szCs w:val="20"/>
              </w:rPr>
              <w:t xml:space="preserve"> </w:t>
            </w:r>
            <w:r w:rsidR="006B43D9">
              <w:rPr>
                <w:rFonts w:eastAsia="Arial" w:cs="Arial"/>
                <w:sz w:val="20"/>
                <w:szCs w:val="20"/>
              </w:rPr>
              <w:t>195,480</w:t>
            </w:r>
          </w:p>
        </w:tc>
      </w:tr>
      <w:tr w:rsidR="00E66558" w:rsidTr="345A7029" w14:paraId="2A7D54DC"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P="345A7029" w:rsidRDefault="009D71E8" w14:paraId="2A7D54DA" w14:textId="77777777">
            <w:pPr>
              <w:pStyle w:val="TableRow"/>
              <w:rPr>
                <w:rFonts w:eastAsia="Arial" w:cs="Arial"/>
                <w:sz w:val="20"/>
                <w:szCs w:val="20"/>
              </w:rPr>
            </w:pPr>
            <w:r w:rsidRPr="345A7029">
              <w:rPr>
                <w:rFonts w:eastAsia="Arial" w:cs="Arial"/>
                <w:sz w:val="20"/>
                <w:szCs w:val="20"/>
              </w:rPr>
              <w:t>Recovery premium funding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B43D9" w:rsidR="00E66558" w:rsidP="345A7029" w:rsidRDefault="73844F96" w14:paraId="2A7D54DB" w14:textId="739E54DE">
            <w:pPr>
              <w:pStyle w:val="TableRow"/>
              <w:rPr>
                <w:rFonts w:eastAsia="Arial" w:cs="Arial"/>
                <w:sz w:val="20"/>
                <w:szCs w:val="20"/>
              </w:rPr>
            </w:pPr>
            <w:r w:rsidRPr="006B43D9">
              <w:rPr>
                <w:rFonts w:eastAsia="Arial" w:cs="Arial"/>
                <w:sz w:val="20"/>
                <w:szCs w:val="20"/>
              </w:rPr>
              <w:t>£</w:t>
            </w:r>
            <w:r w:rsidRPr="006B43D9" w:rsidR="006B43D9">
              <w:rPr>
                <w:rFonts w:eastAsia="Arial" w:cs="Arial"/>
                <w:sz w:val="20"/>
                <w:szCs w:val="20"/>
              </w:rPr>
              <w:t>20,880</w:t>
            </w:r>
          </w:p>
        </w:tc>
      </w:tr>
      <w:tr w:rsidR="345A7029" w:rsidTr="345A7029" w14:paraId="65509260"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66FD2442" w:rsidP="345A7029" w:rsidRDefault="66FD2442" w14:paraId="1EDBDD9D" w14:textId="783A606D">
            <w:pPr>
              <w:pStyle w:val="TableRow"/>
              <w:rPr>
                <w:rFonts w:eastAsia="Arial" w:cs="Arial"/>
                <w:color w:val="0D0D0D" w:themeColor="text1" w:themeTint="F2"/>
                <w:sz w:val="20"/>
                <w:szCs w:val="20"/>
              </w:rPr>
            </w:pPr>
            <w:r w:rsidRPr="345A7029">
              <w:rPr>
                <w:rFonts w:eastAsia="Arial" w:cs="Arial"/>
                <w:color w:val="0D0D0D" w:themeColor="text1" w:themeTint="F2"/>
                <w:sz w:val="20"/>
                <w:szCs w:val="20"/>
              </w:rPr>
              <w:t>National Tutoring Programme allocation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6B43D9" w:rsidR="46A07DC4" w:rsidP="345A7029" w:rsidRDefault="46A07DC4" w14:paraId="30D1481F" w14:textId="232B8830">
            <w:pPr>
              <w:pStyle w:val="TableRow"/>
              <w:rPr>
                <w:rFonts w:eastAsia="Arial" w:cs="Arial"/>
                <w:color w:val="0D0D0D" w:themeColor="text1" w:themeTint="F2"/>
                <w:sz w:val="20"/>
                <w:szCs w:val="20"/>
              </w:rPr>
            </w:pPr>
            <w:r w:rsidRPr="006B43D9">
              <w:rPr>
                <w:rFonts w:eastAsia="Arial" w:cs="Arial"/>
                <w:color w:val="0D0D0D" w:themeColor="text1" w:themeTint="F2"/>
                <w:sz w:val="20"/>
                <w:szCs w:val="20"/>
              </w:rPr>
              <w:t>£</w:t>
            </w:r>
            <w:r w:rsidRPr="006B43D9" w:rsidR="006B43D9">
              <w:rPr>
                <w:rFonts w:eastAsia="Arial" w:cs="Arial"/>
                <w:color w:val="0D0D0D" w:themeColor="text1" w:themeTint="F2"/>
                <w:sz w:val="20"/>
                <w:szCs w:val="20"/>
              </w:rPr>
              <w:t>18,249</w:t>
            </w:r>
          </w:p>
        </w:tc>
      </w:tr>
      <w:tr w:rsidR="00E66558" w:rsidTr="345A7029" w14:paraId="2A7D54DF" w14:textId="77777777">
        <w:trPr>
          <w:trHeight w:val="374"/>
        </w:trPr>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vAlign w:val="center"/>
          </w:tcPr>
          <w:p w:rsidR="00E66558" w:rsidP="345A7029" w:rsidRDefault="009D71E8" w14:paraId="2A7D54DD" w14:textId="77777777">
            <w:pPr>
              <w:pStyle w:val="TableRow"/>
              <w:rPr>
                <w:rFonts w:eastAsia="Arial" w:cs="Arial"/>
                <w:sz w:val="20"/>
                <w:szCs w:val="20"/>
              </w:rPr>
            </w:pPr>
            <w:r w:rsidRPr="345A7029">
              <w:rPr>
                <w:rFonts w:eastAsia="Arial" w:cs="Arial"/>
                <w:sz w:val="20"/>
                <w:szCs w:val="20"/>
              </w:rPr>
              <w:t>Pupil premium funding carried forward from previous years (enter £0 if not applicable)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73844F96" w14:paraId="2A7D54DE" w14:textId="56CBC130">
            <w:pPr>
              <w:pStyle w:val="TableRow"/>
              <w:rPr>
                <w:rFonts w:eastAsia="Arial" w:cs="Arial"/>
                <w:sz w:val="20"/>
                <w:szCs w:val="20"/>
              </w:rPr>
            </w:pPr>
            <w:r w:rsidRPr="345A7029">
              <w:rPr>
                <w:rFonts w:eastAsia="Arial" w:cs="Arial"/>
                <w:sz w:val="20"/>
                <w:szCs w:val="20"/>
              </w:rPr>
              <w:t>£</w:t>
            </w:r>
            <w:r w:rsidRPr="345A7029" w:rsidR="0B4FB420">
              <w:rPr>
                <w:rFonts w:eastAsia="Arial" w:cs="Arial"/>
                <w:sz w:val="20"/>
                <w:szCs w:val="20"/>
              </w:rPr>
              <w:t>0</w:t>
            </w:r>
          </w:p>
        </w:tc>
      </w:tr>
      <w:tr w:rsidR="00E66558" w:rsidTr="345A7029" w14:paraId="2A7D54E3" w14:textId="77777777">
        <w:tc>
          <w:tcPr>
            <w:tcW w:w="651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9D71E8" w14:paraId="2A7D54E0" w14:textId="77777777">
            <w:pPr>
              <w:pStyle w:val="TableRow"/>
              <w:rPr>
                <w:rFonts w:eastAsia="Arial" w:cs="Arial"/>
                <w:b/>
                <w:bCs/>
                <w:sz w:val="20"/>
                <w:szCs w:val="20"/>
              </w:rPr>
            </w:pPr>
            <w:r w:rsidRPr="345A7029">
              <w:rPr>
                <w:rFonts w:eastAsia="Arial" w:cs="Arial"/>
                <w:b/>
                <w:bCs/>
                <w:sz w:val="20"/>
                <w:szCs w:val="20"/>
              </w:rPr>
              <w:t>Total budget for this academic year</w:t>
            </w:r>
          </w:p>
          <w:p w:rsidR="00E66558" w:rsidP="345A7029" w:rsidRDefault="009D71E8" w14:paraId="2A7D54E1" w14:textId="77777777">
            <w:pPr>
              <w:pStyle w:val="TableRow"/>
              <w:rPr>
                <w:rFonts w:eastAsia="Arial" w:cs="Arial"/>
                <w:sz w:val="20"/>
                <w:szCs w:val="20"/>
              </w:rPr>
            </w:pPr>
            <w:r w:rsidRPr="345A7029">
              <w:rPr>
                <w:rFonts w:eastAsia="Arial" w:cs="Arial"/>
                <w:sz w:val="20"/>
                <w:szCs w:val="20"/>
              </w:rPr>
              <w:t>If your school is an academy in a trust that pools this funding, state the amount available to your school this academic year</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73844F96" w14:paraId="2A7D54E2" w14:textId="63715960">
            <w:pPr>
              <w:pStyle w:val="TableRow"/>
              <w:rPr>
                <w:rFonts w:eastAsia="Arial" w:cs="Arial"/>
                <w:sz w:val="20"/>
                <w:szCs w:val="20"/>
              </w:rPr>
            </w:pPr>
            <w:r w:rsidRPr="345A7029">
              <w:rPr>
                <w:rFonts w:eastAsia="Arial" w:cs="Arial"/>
                <w:sz w:val="20"/>
                <w:szCs w:val="20"/>
              </w:rPr>
              <w:t>£</w:t>
            </w:r>
            <w:r w:rsidR="006B43D9">
              <w:rPr>
                <w:rFonts w:eastAsia="Arial" w:cs="Arial"/>
                <w:sz w:val="20"/>
                <w:szCs w:val="20"/>
              </w:rPr>
              <w:t>234,609</w:t>
            </w:r>
          </w:p>
        </w:tc>
      </w:tr>
    </w:tbl>
    <w:p w:rsidR="345A7029" w:rsidP="345A7029" w:rsidRDefault="345A7029" w14:paraId="6F9FBD67" w14:textId="0E82C302">
      <w:pPr>
        <w:rPr>
          <w:color w:val="0D0D0D" w:themeColor="text1" w:themeTint="F2"/>
        </w:rPr>
      </w:pPr>
    </w:p>
    <w:p w:rsidR="345A7029" w:rsidP="345A7029" w:rsidRDefault="345A7029" w14:paraId="326A322F" w14:textId="71725AEA">
      <w:pPr>
        <w:rPr>
          <w:color w:val="0D0D0D" w:themeColor="text1" w:themeTint="F2"/>
        </w:rPr>
      </w:pPr>
    </w:p>
    <w:p w:rsidR="345A7029" w:rsidP="345A7029" w:rsidRDefault="345A7029" w14:paraId="04CA20A3" w14:textId="66942333">
      <w:pPr>
        <w:rPr>
          <w:color w:val="0D0D0D" w:themeColor="text1" w:themeTint="F2"/>
        </w:rPr>
      </w:pPr>
    </w:p>
    <w:p w:rsidR="345A7029" w:rsidP="345A7029" w:rsidRDefault="345A7029" w14:paraId="6040C14C" w14:textId="52069F8B">
      <w:pPr>
        <w:rPr>
          <w:color w:val="0D0D0D" w:themeColor="text1" w:themeTint="F2"/>
        </w:rPr>
      </w:pPr>
    </w:p>
    <w:p w:rsidR="00E66558" w:rsidP="345A7029" w:rsidRDefault="009D71E8" w14:paraId="2A7D54E4" w14:textId="6723558C">
      <w:pPr>
        <w:pStyle w:val="Heading1"/>
        <w:rPr>
          <w:sz w:val="24"/>
        </w:rPr>
      </w:pPr>
      <w:r w:rsidRPr="345A7029">
        <w:rPr>
          <w:sz w:val="24"/>
        </w:rPr>
        <w:t>Part A: Pupil premium strategy plan</w:t>
      </w:r>
    </w:p>
    <w:p w:rsidR="00E66558" w:rsidP="345A7029" w:rsidRDefault="73844F96" w14:paraId="2A7D54E5" w14:textId="77777777">
      <w:pPr>
        <w:pStyle w:val="Heading2"/>
        <w:spacing w:before="0"/>
        <w:rPr>
          <w:sz w:val="24"/>
          <w:szCs w:val="24"/>
        </w:rPr>
      </w:pPr>
      <w:bookmarkStart w:name="_Toc357771640" w:id="14"/>
      <w:bookmarkStart w:name="_Toc346793418" w:id="15"/>
      <w:r w:rsidRPr="345A7029">
        <w:rPr>
          <w:sz w:val="24"/>
          <w:szCs w:val="24"/>
        </w:rPr>
        <w:t>Statement of intent</w:t>
      </w:r>
    </w:p>
    <w:p w:rsidR="562CDD7F" w:rsidP="13618859" w:rsidRDefault="3D81E130" w14:paraId="751D7C14" w14:textId="4D6D32FF">
      <w:pPr>
        <w:spacing w:before="600" w:line="240" w:lineRule="auto"/>
        <w:rPr>
          <w:rFonts w:eastAsia="Arial" w:cs="Arial"/>
          <w:sz w:val="20"/>
          <w:szCs w:val="20"/>
        </w:rPr>
      </w:pPr>
      <w:r w:rsidRPr="13618859">
        <w:rPr>
          <w:rFonts w:eastAsia="Arial" w:cs="Arial"/>
          <w:color w:val="000000" w:themeColor="text1"/>
          <w:sz w:val="20"/>
          <w:szCs w:val="20"/>
        </w:rPr>
        <w:t xml:space="preserve">Northfield St. Nicholas Primary Academy is a larger-than-average sized primary school </w:t>
      </w:r>
      <w:r w:rsidRPr="13618859">
        <w:rPr>
          <w:rFonts w:eastAsia="Arial" w:cs="Arial"/>
          <w:sz w:val="20"/>
          <w:szCs w:val="20"/>
        </w:rPr>
        <w:t xml:space="preserve">which serves an area of high deprivation with the proportion of pupils in receipt of pupil premium significantly above the national average. The local deprivation indicator places the school in the highest quintile, the top 20% nationally. </w:t>
      </w:r>
      <w:r w:rsidRPr="13618859">
        <w:rPr>
          <w:rFonts w:eastAsia="Arial" w:cs="Arial"/>
          <w:color w:val="000000" w:themeColor="text1"/>
          <w:sz w:val="20"/>
          <w:szCs w:val="20"/>
        </w:rPr>
        <w:t>At NSN, 57.4% of pupils are in Decile 1 of the Income Deprivation Affecting Children Index (IDACI)</w:t>
      </w:r>
      <w:r w:rsidRPr="13618859">
        <w:rPr>
          <w:rFonts w:eastAsia="Arial" w:cs="Arial"/>
          <w:sz w:val="20"/>
          <w:szCs w:val="20"/>
        </w:rPr>
        <w:t>.  In our Suffolk cluster this is 40.5%, our locality = 20.3%, and the LA = 5.7%. Pupils coming from Decile 3 or less is 77.7%, which is significantly more income deprived than national.</w:t>
      </w:r>
      <w:r w:rsidRPr="13618859">
        <w:rPr>
          <w:rFonts w:eastAsia="Arial" w:cs="Arial"/>
          <w:color w:val="000000" w:themeColor="text1"/>
          <w:sz w:val="20"/>
          <w:szCs w:val="20"/>
        </w:rPr>
        <w:t xml:space="preserve"> The majority of the pupils are of White British heritage although there are an increasing number who have English as an </w:t>
      </w:r>
      <w:r w:rsidRPr="13618859">
        <w:rPr>
          <w:rFonts w:eastAsia="Arial" w:cs="Arial"/>
          <w:sz w:val="20"/>
          <w:szCs w:val="20"/>
        </w:rPr>
        <w:t>additional language (22 pupils = 5.7%).</w:t>
      </w:r>
      <w:r w:rsidRPr="13618859">
        <w:rPr>
          <w:rFonts w:eastAsia="Arial" w:cs="Arial"/>
          <w:color w:val="000000" w:themeColor="text1"/>
          <w:sz w:val="20"/>
          <w:szCs w:val="20"/>
        </w:rPr>
        <w:t xml:space="preserve"> Lowestoft is a highly challenging area to recruit due to being a secluded coastal town with </w:t>
      </w:r>
      <w:r w:rsidRPr="13618859">
        <w:rPr>
          <w:rFonts w:eastAsia="Arial" w:cs="Arial"/>
          <w:sz w:val="20"/>
          <w:szCs w:val="20"/>
        </w:rPr>
        <w:t>very limited infrastructure.  The closest city is Norwich which is 30 miles away, which also has the closest University.  These challenges make it increasingly hard to recruit and retain high quality teaching staff.</w:t>
      </w:r>
      <w:r w:rsidRPr="13618859">
        <w:rPr>
          <w:rFonts w:eastAsia="Arial" w:cs="Arial"/>
          <w:color w:val="000000" w:themeColor="text1"/>
          <w:sz w:val="20"/>
          <w:szCs w:val="20"/>
        </w:rPr>
        <w:t xml:space="preserve"> </w:t>
      </w:r>
      <w:r w:rsidRPr="13618859" w:rsidR="0D5193D3">
        <w:rPr>
          <w:rFonts w:eastAsia="Arial" w:cs="Arial"/>
          <w:color w:val="000000" w:themeColor="text1"/>
          <w:sz w:val="20"/>
          <w:szCs w:val="20"/>
        </w:rPr>
        <w:t xml:space="preserve"> </w:t>
      </w:r>
    </w:p>
    <w:p w:rsidR="562CDD7F" w:rsidP="13618859" w:rsidRDefault="3D81E130" w14:paraId="42A7E3E1" w14:textId="6CADB66D">
      <w:pPr>
        <w:spacing w:before="120" w:line="240" w:lineRule="auto"/>
        <w:rPr>
          <w:rFonts w:eastAsia="Arial" w:cs="Arial"/>
          <w:sz w:val="20"/>
          <w:szCs w:val="20"/>
        </w:rPr>
      </w:pPr>
      <w:r w:rsidRPr="13618859">
        <w:rPr>
          <w:rFonts w:eastAsia="Arial" w:cs="Arial"/>
          <w:sz w:val="20"/>
          <w:szCs w:val="20"/>
        </w:rPr>
        <w:t>Our Statement of Intent is ‘Working together to achieve excellence for all.’ This means that that we are striving to achieve excellence for all: children, staff and the wider community, in all that we do. For our children, we aim to achieve this in a number of ways including removing barriers which may otherwise prevent them from achieving their potential. By doing this we aim for the children to be academically, socially and emotionally able to continue to the next stage of their education.</w:t>
      </w:r>
      <w:r w:rsidRPr="13618859" w:rsidR="00C9B79E">
        <w:rPr>
          <w:rFonts w:eastAsia="Arial" w:cs="Arial"/>
          <w:sz w:val="20"/>
          <w:szCs w:val="20"/>
        </w:rPr>
        <w:t xml:space="preserve"> </w:t>
      </w:r>
      <w:r w:rsidRPr="13618859">
        <w:rPr>
          <w:rFonts w:eastAsia="Arial" w:cs="Arial"/>
          <w:sz w:val="20"/>
          <w:szCs w:val="20"/>
        </w:rPr>
        <w:t xml:space="preserve"> </w:t>
      </w:r>
      <w:r w:rsidRPr="13618859">
        <w:rPr>
          <w:rFonts w:eastAsia="Arial" w:cs="Arial"/>
          <w:b/>
          <w:bCs/>
          <w:sz w:val="20"/>
          <w:szCs w:val="20"/>
        </w:rPr>
        <w:t xml:space="preserve">  </w:t>
      </w:r>
      <w:r w:rsidRPr="13618859">
        <w:rPr>
          <w:rFonts w:eastAsia="Arial" w:cs="Arial"/>
          <w:sz w:val="20"/>
          <w:szCs w:val="20"/>
        </w:rPr>
        <w:t xml:space="preserve"> </w:t>
      </w:r>
    </w:p>
    <w:p w:rsidR="562CDD7F" w:rsidP="13618859" w:rsidRDefault="3D81E130" w14:paraId="647CA8ED" w14:textId="0E2BEA5D">
      <w:pPr>
        <w:spacing w:before="120" w:line="240" w:lineRule="auto"/>
        <w:rPr>
          <w:rFonts w:eastAsia="Arial" w:cs="Arial"/>
          <w:color w:val="000000" w:themeColor="text1"/>
          <w:sz w:val="20"/>
          <w:szCs w:val="20"/>
        </w:rPr>
      </w:pPr>
      <w:r w:rsidRPr="13618859">
        <w:rPr>
          <w:rFonts w:eastAsia="Arial" w:cs="Arial"/>
          <w:color w:val="000000" w:themeColor="text1"/>
          <w:sz w:val="20"/>
          <w:szCs w:val="20"/>
        </w:rPr>
        <w:t>To supplement this, the frequent reminders: ‘Look Smart, Think Smart, Be Smart’ and ‘Think Kind Thoughts, Have Kind Behaviour, Say Kind Words’ can often be heard around the school and help to set stu</w:t>
      </w:r>
      <w:r w:rsidRPr="13618859">
        <w:rPr>
          <w:rFonts w:eastAsia="Arial" w:cs="Arial"/>
          <w:sz w:val="20"/>
          <w:szCs w:val="20"/>
        </w:rPr>
        <w:t>rdy foundations to achieve these aims. We recognise that a successful academic education through a broad and balanced curriculum, combined with raising aspirations and self-belief are the key components of future success for the children of Northfield St Nicholas. Basic skills in reading, writing and maths underpin our curriculum since the acquisition of these skills is fundamental to children being able to excel in other subjects, be well equipped for the next stages of their</w:t>
      </w:r>
      <w:r w:rsidRPr="13618859">
        <w:rPr>
          <w:rFonts w:ascii="Calibri" w:hAnsi="Calibri" w:eastAsia="Calibri" w:cs="Calibri"/>
          <w:color w:val="000000" w:themeColor="text1"/>
          <w:sz w:val="20"/>
          <w:szCs w:val="20"/>
        </w:rPr>
        <w:t xml:space="preserve"> </w:t>
      </w:r>
      <w:r w:rsidRPr="13618859">
        <w:rPr>
          <w:rFonts w:eastAsia="Arial" w:cs="Arial"/>
          <w:color w:val="000000" w:themeColor="text1"/>
          <w:sz w:val="20"/>
          <w:szCs w:val="20"/>
        </w:rPr>
        <w:t xml:space="preserve">education and eventually gain fulfilling employment.  </w:t>
      </w:r>
    </w:p>
    <w:p w:rsidR="562CDD7F" w:rsidP="13618859" w:rsidRDefault="3D81E130" w14:paraId="73202B3E" w14:textId="41DB1073">
      <w:pPr>
        <w:spacing w:line="240" w:lineRule="auto"/>
        <w:rPr>
          <w:rFonts w:eastAsia="Arial" w:cs="Arial"/>
          <w:sz w:val="20"/>
          <w:szCs w:val="20"/>
        </w:rPr>
      </w:pPr>
      <w:r w:rsidRPr="13618859">
        <w:rPr>
          <w:rFonts w:eastAsia="Arial" w:cs="Arial"/>
          <w:sz w:val="20"/>
          <w:szCs w:val="20"/>
        </w:rPr>
        <w:t>Our pupil premium strategy tackles key challenges using a tiered approach, which permeates all actions, development plans and practice within our school. We focus on 3 areas: improving the quality of teaching; targeted intervention and catch up support; wider strategies to support social and emotional wellbeing.</w:t>
      </w:r>
    </w:p>
    <w:p w:rsidR="562CDD7F" w:rsidP="13618859" w:rsidRDefault="3D81E130" w14:paraId="7CECAE85" w14:textId="07470447">
      <w:pPr>
        <w:spacing w:beforeAutospacing="1" w:line="240" w:lineRule="auto"/>
        <w:rPr>
          <w:rFonts w:eastAsia="Arial" w:cs="Arial"/>
          <w:sz w:val="20"/>
          <w:szCs w:val="20"/>
        </w:rPr>
      </w:pPr>
      <w:r w:rsidRPr="13618859">
        <w:rPr>
          <w:rFonts w:eastAsia="Arial" w:cs="Arial"/>
          <w:sz w:val="20"/>
          <w:szCs w:val="20"/>
        </w:rPr>
        <w:t xml:space="preserve">Our key principles follow educational research and evidence into successful practice, both locally working with our colleagues and local services and nationally utilising the EEF research. For our disadvantaged pupils we ensure that: </w:t>
      </w:r>
    </w:p>
    <w:p w:rsidR="562CDD7F" w:rsidP="13618859" w:rsidRDefault="3D81E130" w14:paraId="5EDDF5FD" w14:textId="65863F3D">
      <w:pPr>
        <w:pStyle w:val="ListParagraph"/>
        <w:numPr>
          <w:ilvl w:val="0"/>
          <w:numId w:val="1"/>
        </w:numPr>
        <w:spacing w:before="600" w:beforeAutospacing="1" w:line="240" w:lineRule="auto"/>
        <w:rPr>
          <w:rFonts w:eastAsia="Arial" w:cs="Arial"/>
          <w:color w:val="000000" w:themeColor="text1"/>
          <w:sz w:val="20"/>
          <w:szCs w:val="20"/>
        </w:rPr>
      </w:pPr>
      <w:r w:rsidRPr="13618859">
        <w:rPr>
          <w:rFonts w:eastAsia="Arial" w:cs="Arial"/>
          <w:sz w:val="20"/>
          <w:szCs w:val="20"/>
        </w:rPr>
        <w:t>All staff members know who our pupil premium children are</w:t>
      </w:r>
    </w:p>
    <w:p w:rsidR="562CDD7F" w:rsidP="13618859" w:rsidRDefault="3D81E130" w14:paraId="696E1C70" w14:textId="1B89A4E3">
      <w:pPr>
        <w:pStyle w:val="ListParagraph"/>
        <w:numPr>
          <w:ilvl w:val="0"/>
          <w:numId w:val="1"/>
        </w:numPr>
        <w:spacing w:before="600" w:beforeAutospacing="1" w:line="240" w:lineRule="auto"/>
        <w:rPr>
          <w:rFonts w:eastAsia="Arial" w:cs="Arial"/>
          <w:color w:val="000000" w:themeColor="text1"/>
          <w:sz w:val="20"/>
          <w:szCs w:val="20"/>
        </w:rPr>
      </w:pPr>
      <w:r w:rsidRPr="13618859">
        <w:rPr>
          <w:rFonts w:eastAsia="Arial" w:cs="Arial"/>
          <w:sz w:val="20"/>
          <w:szCs w:val="20"/>
        </w:rPr>
        <w:t>All pupil premium children experience high quality teaching</w:t>
      </w:r>
    </w:p>
    <w:p w:rsidR="562CDD7F" w:rsidP="13618859" w:rsidRDefault="3D81E130" w14:paraId="1596FAD4" w14:textId="070D98D1">
      <w:pPr>
        <w:pStyle w:val="ListParagraph"/>
        <w:numPr>
          <w:ilvl w:val="0"/>
          <w:numId w:val="1"/>
        </w:numPr>
        <w:spacing w:before="600" w:beforeAutospacing="1" w:line="240" w:lineRule="auto"/>
        <w:rPr>
          <w:rFonts w:eastAsia="Arial" w:cs="Arial"/>
          <w:color w:val="000000" w:themeColor="text1"/>
          <w:sz w:val="20"/>
          <w:szCs w:val="20"/>
        </w:rPr>
      </w:pPr>
      <w:r w:rsidRPr="13618859">
        <w:rPr>
          <w:rFonts w:eastAsia="Arial" w:cs="Arial"/>
          <w:sz w:val="20"/>
          <w:szCs w:val="20"/>
        </w:rPr>
        <w:t>All pupil premium children receive high quality feedback, guided support and challenge to move their learning on</w:t>
      </w:r>
    </w:p>
    <w:p w:rsidR="562CDD7F" w:rsidP="13618859" w:rsidRDefault="3D81E130" w14:paraId="5A309C6B" w14:textId="0A5A804A">
      <w:pPr>
        <w:pStyle w:val="ListParagraph"/>
        <w:numPr>
          <w:ilvl w:val="0"/>
          <w:numId w:val="1"/>
        </w:numPr>
        <w:spacing w:before="600" w:beforeAutospacing="1" w:line="240" w:lineRule="auto"/>
        <w:rPr>
          <w:rFonts w:eastAsia="Arial" w:cs="Arial"/>
          <w:color w:val="000000" w:themeColor="text1"/>
          <w:sz w:val="20"/>
          <w:szCs w:val="20"/>
        </w:rPr>
      </w:pPr>
      <w:r w:rsidRPr="13618859">
        <w:rPr>
          <w:rFonts w:eastAsia="Arial" w:cs="Arial"/>
          <w:sz w:val="20"/>
          <w:szCs w:val="20"/>
        </w:rPr>
        <w:t>Pupil premium children are targeted for additional interventions and targeted catch up support</w:t>
      </w:r>
    </w:p>
    <w:p w:rsidR="562CDD7F" w:rsidP="13618859" w:rsidRDefault="3D81E130" w14:paraId="1B3AD681" w14:textId="3CAA442E">
      <w:pPr>
        <w:pStyle w:val="ListParagraph"/>
        <w:numPr>
          <w:ilvl w:val="0"/>
          <w:numId w:val="1"/>
        </w:numPr>
        <w:spacing w:before="600" w:beforeAutospacing="1" w:line="240" w:lineRule="auto"/>
        <w:rPr>
          <w:rFonts w:eastAsia="Arial" w:cs="Arial"/>
          <w:color w:val="000000" w:themeColor="text1"/>
          <w:sz w:val="20"/>
          <w:szCs w:val="20"/>
        </w:rPr>
      </w:pPr>
      <w:r w:rsidRPr="13618859">
        <w:rPr>
          <w:rFonts w:eastAsia="Arial" w:cs="Arial"/>
          <w:sz w:val="20"/>
          <w:szCs w:val="20"/>
        </w:rPr>
        <w:t>Pupil premium children’s families are effectively supported to ensure barriers to learning are removed so that pupils can access their education, with their basic needs met.</w:t>
      </w:r>
    </w:p>
    <w:p w:rsidR="562CDD7F" w:rsidP="13618859" w:rsidRDefault="3D81E130" w14:paraId="5BAAFF74" w14:textId="3CF1744C">
      <w:pPr>
        <w:spacing w:before="600" w:beforeAutospacing="1" w:line="240" w:lineRule="auto"/>
        <w:rPr>
          <w:rFonts w:eastAsia="Arial" w:cs="Arial"/>
          <w:color w:val="000000" w:themeColor="text1"/>
        </w:rPr>
      </w:pPr>
      <w:r w:rsidRPr="13618859">
        <w:rPr>
          <w:rFonts w:eastAsia="Arial" w:cs="Arial"/>
          <w:color w:val="000000" w:themeColor="text1"/>
          <w:sz w:val="20"/>
          <w:szCs w:val="20"/>
        </w:rPr>
        <w:t xml:space="preserve"> </w:t>
      </w:r>
      <w:r w:rsidRPr="13618859">
        <w:rPr>
          <w:rFonts w:eastAsia="Arial" w:cs="Arial"/>
          <w:sz w:val="20"/>
          <w:szCs w:val="20"/>
        </w:rPr>
        <w:t>Our main goal is to ensure that pupil premium children’s achievements are in line with their non-pupil premium peers.</w:t>
      </w:r>
      <w:r w:rsidRPr="13618859" w:rsidR="5F7225E7">
        <w:rPr>
          <w:rFonts w:eastAsia="Arial" w:cs="Arial"/>
          <w:sz w:val="20"/>
          <w:szCs w:val="20"/>
        </w:rPr>
        <w:t xml:space="preserve"> </w:t>
      </w:r>
    </w:p>
    <w:p w:rsidR="345A7029" w:rsidP="345A7029" w:rsidRDefault="345A7029" w14:paraId="0D632422" w14:textId="402E7667">
      <w:pPr>
        <w:spacing w:line="240" w:lineRule="auto"/>
        <w:rPr>
          <w:rFonts w:eastAsia="Arial" w:cs="Arial"/>
          <w:color w:val="0D0D0D" w:themeColor="text1" w:themeTint="F2"/>
        </w:rPr>
      </w:pPr>
    </w:p>
    <w:p w:rsidR="345A7029" w:rsidP="345A7029" w:rsidRDefault="345A7029" w14:paraId="78822B54" w14:textId="60C20D98">
      <w:pPr>
        <w:spacing w:line="240" w:lineRule="auto"/>
        <w:rPr>
          <w:rFonts w:eastAsia="Arial" w:cs="Arial"/>
          <w:color w:val="0D0D0D" w:themeColor="text1" w:themeTint="F2"/>
        </w:rPr>
      </w:pPr>
    </w:p>
    <w:p w:rsidR="345A7029" w:rsidP="13618859" w:rsidRDefault="345A7029" w14:paraId="58B914A8" w14:textId="4864ED0A">
      <w:pPr>
        <w:spacing w:line="240" w:lineRule="auto"/>
        <w:rPr>
          <w:rFonts w:eastAsia="Arial" w:cs="Arial"/>
          <w:color w:val="000000" w:themeColor="text1"/>
        </w:rPr>
      </w:pPr>
    </w:p>
    <w:p w:rsidR="13618859" w:rsidP="13618859" w:rsidRDefault="13618859" w14:paraId="428E5155" w14:textId="14462417">
      <w:pPr>
        <w:spacing w:line="240" w:lineRule="auto"/>
        <w:rPr>
          <w:rFonts w:eastAsia="Arial" w:cs="Arial"/>
          <w:color w:val="0D0D0D" w:themeColor="text1" w:themeTint="F2"/>
        </w:rPr>
      </w:pPr>
    </w:p>
    <w:p w:rsidR="13618859" w:rsidP="13618859" w:rsidRDefault="13618859" w14:paraId="6F0A58CA" w14:textId="73F432F5">
      <w:pPr>
        <w:spacing w:line="240" w:lineRule="auto"/>
        <w:rPr>
          <w:rFonts w:eastAsia="Arial" w:cs="Arial"/>
          <w:color w:val="0D0D0D" w:themeColor="text1" w:themeTint="F2"/>
        </w:rPr>
      </w:pPr>
    </w:p>
    <w:p w:rsidR="13618859" w:rsidP="13618859" w:rsidRDefault="13618859" w14:paraId="623E176B" w14:textId="4272EB6F">
      <w:pPr>
        <w:spacing w:line="240" w:lineRule="auto"/>
        <w:rPr>
          <w:rFonts w:eastAsia="Arial" w:cs="Arial"/>
          <w:color w:val="0D0D0D" w:themeColor="text1" w:themeTint="F2"/>
        </w:rPr>
      </w:pPr>
    </w:p>
    <w:p w:rsidR="00E66558" w:rsidP="345A7029" w:rsidRDefault="73844F96" w14:paraId="2A7D54EB" w14:textId="21FA5917">
      <w:pPr>
        <w:pStyle w:val="Heading2"/>
        <w:spacing w:before="240" w:line="257" w:lineRule="auto"/>
        <w:rPr>
          <w:color w:val="0D0D0D" w:themeColor="text1" w:themeTint="F2"/>
          <w:sz w:val="24"/>
          <w:szCs w:val="24"/>
        </w:rPr>
      </w:pPr>
      <w:r w:rsidRPr="345A7029">
        <w:rPr>
          <w:sz w:val="24"/>
          <w:szCs w:val="24"/>
        </w:rPr>
        <w:t>Challenges</w:t>
      </w:r>
    </w:p>
    <w:p w:rsidR="00E66558" w:rsidP="345A7029" w:rsidRDefault="009D71E8" w14:paraId="2A7D54EC" w14:textId="77777777">
      <w:pPr>
        <w:spacing w:before="120" w:line="240" w:lineRule="auto"/>
        <w:textAlignment w:val="baseline"/>
        <w:outlineLvl w:val="0"/>
        <w:rPr>
          <w:color w:val="auto"/>
          <w:sz w:val="20"/>
          <w:szCs w:val="20"/>
        </w:rPr>
      </w:pPr>
      <w:r w:rsidRPr="345A7029">
        <w:rPr>
          <w:color w:val="auto"/>
          <w:sz w:val="20"/>
          <w:szCs w:val="20"/>
        </w:rPr>
        <w:t>This details the key challenges to achievement that we have identified among our disadvantaged pupils.</w:t>
      </w:r>
    </w:p>
    <w:tbl>
      <w:tblPr>
        <w:tblW w:w="5000" w:type="pct"/>
        <w:tblCellMar>
          <w:left w:w="10" w:type="dxa"/>
          <w:right w:w="10" w:type="dxa"/>
        </w:tblCellMar>
        <w:tblLook w:val="04A0" w:firstRow="1" w:lastRow="0" w:firstColumn="1" w:lastColumn="0" w:noHBand="0" w:noVBand="1"/>
      </w:tblPr>
      <w:tblGrid>
        <w:gridCol w:w="1583"/>
        <w:gridCol w:w="8585"/>
      </w:tblGrid>
      <w:tr w:rsidR="00E66558" w:rsidTr="345A7029" w14:paraId="2A7D54EF"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D" w14:textId="77777777">
            <w:pPr>
              <w:pStyle w:val="TableHeader"/>
              <w:jc w:val="left"/>
            </w:pPr>
            <w:r>
              <w:t>Challenge number</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4EE" w14:textId="77777777">
            <w:pPr>
              <w:pStyle w:val="TableHeader"/>
              <w:jc w:val="left"/>
            </w:pPr>
            <w:r>
              <w:t xml:space="preserve">Detail of challenge </w:t>
            </w:r>
          </w:p>
        </w:tc>
      </w:tr>
      <w:tr w:rsidR="00E66558" w:rsidTr="345A7029" w14:paraId="2A7D54F2"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0" w14:textId="77777777">
            <w:pPr>
              <w:pStyle w:val="TableRow"/>
              <w:rPr>
                <w:sz w:val="22"/>
                <w:szCs w:val="22"/>
              </w:rPr>
            </w:pPr>
            <w:r>
              <w:rPr>
                <w:sz w:val="22"/>
                <w:szCs w:val="22"/>
              </w:rPr>
              <w:t>1</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A68E7" w:rsidR="00E66558" w:rsidRDefault="00BA68E7" w14:paraId="2A7D54F1" w14:textId="280D440F">
            <w:pPr>
              <w:pStyle w:val="TableRowCentered"/>
              <w:jc w:val="left"/>
            </w:pPr>
            <w:r w:rsidRPr="345A7029">
              <w:rPr>
                <w:sz w:val="20"/>
              </w:rPr>
              <w:t>Low baseline on entry to EYFS in all areas of development</w:t>
            </w:r>
            <w:r w:rsidRPr="345A7029">
              <w:rPr>
                <w:sz w:val="22"/>
                <w:szCs w:val="22"/>
              </w:rPr>
              <w:t xml:space="preserve"> </w:t>
            </w:r>
          </w:p>
        </w:tc>
      </w:tr>
      <w:tr w:rsidR="00E66558" w:rsidTr="345A7029" w14:paraId="2A7D54F5"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3" w14:textId="77777777">
            <w:pPr>
              <w:pStyle w:val="TableRow"/>
              <w:rPr>
                <w:sz w:val="22"/>
                <w:szCs w:val="22"/>
              </w:rPr>
            </w:pPr>
            <w:r>
              <w:rPr>
                <w:sz w:val="22"/>
                <w:szCs w:val="22"/>
              </w:rPr>
              <w:t>2</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BA68E7" w14:paraId="2A7D54F4" w14:textId="2175CB1B">
            <w:pPr>
              <w:pStyle w:val="TableRowCentered"/>
              <w:jc w:val="left"/>
              <w:rPr>
                <w:sz w:val="20"/>
              </w:rPr>
            </w:pPr>
            <w:r w:rsidRPr="345A7029">
              <w:rPr>
                <w:sz w:val="20"/>
              </w:rPr>
              <w:t>High rates of families/children known to external agencies</w:t>
            </w:r>
          </w:p>
        </w:tc>
      </w:tr>
      <w:tr w:rsidR="00E66558" w:rsidTr="345A7029" w14:paraId="2A7D54F8"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6" w14:textId="77777777">
            <w:pPr>
              <w:pStyle w:val="TableRow"/>
              <w:rPr>
                <w:sz w:val="22"/>
                <w:szCs w:val="22"/>
              </w:rPr>
            </w:pPr>
            <w:r>
              <w:rPr>
                <w:sz w:val="22"/>
                <w:szCs w:val="22"/>
              </w:rPr>
              <w:t>3</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BA68E7" w14:paraId="2A7D54F7" w14:textId="21BBB1BE">
            <w:pPr>
              <w:pStyle w:val="TableRowCentered"/>
              <w:jc w:val="left"/>
              <w:rPr>
                <w:sz w:val="20"/>
              </w:rPr>
            </w:pPr>
            <w:r w:rsidRPr="345A7029">
              <w:rPr>
                <w:sz w:val="20"/>
              </w:rPr>
              <w:t xml:space="preserve">High rates of social deprivation (IDACI 44%1, 40% 2), </w:t>
            </w:r>
            <w:r w:rsidRPr="345A7029" w:rsidR="1AE547E6">
              <w:rPr>
                <w:sz w:val="20"/>
              </w:rPr>
              <w:t xml:space="preserve">low </w:t>
            </w:r>
            <w:r w:rsidRPr="345A7029">
              <w:rPr>
                <w:sz w:val="20"/>
              </w:rPr>
              <w:t>social mobility</w:t>
            </w:r>
            <w:r w:rsidRPr="345A7029" w:rsidR="1AE547E6">
              <w:rPr>
                <w:sz w:val="20"/>
              </w:rPr>
              <w:t xml:space="preserve"> &amp; JAM families</w:t>
            </w:r>
          </w:p>
        </w:tc>
      </w:tr>
      <w:tr w:rsidR="00E66558" w:rsidTr="345A7029" w14:paraId="2A7D54FB"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9" w14:textId="77777777">
            <w:pPr>
              <w:pStyle w:val="TableRow"/>
              <w:rPr>
                <w:sz w:val="22"/>
                <w:szCs w:val="22"/>
              </w:rPr>
            </w:pPr>
            <w:r>
              <w:rPr>
                <w:sz w:val="22"/>
                <w:szCs w:val="22"/>
              </w:rPr>
              <w:t>4</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BA68E7" w14:paraId="2A7D54FA" w14:textId="5EF2CFAE">
            <w:pPr>
              <w:pStyle w:val="TableRowCentered"/>
              <w:jc w:val="left"/>
              <w:rPr>
                <w:sz w:val="22"/>
                <w:szCs w:val="22"/>
              </w:rPr>
            </w:pPr>
            <w:r w:rsidRPr="345A7029">
              <w:rPr>
                <w:sz w:val="20"/>
              </w:rPr>
              <w:t>Low aspiration</w:t>
            </w:r>
            <w:r w:rsidRPr="345A7029" w:rsidR="1AE547E6">
              <w:rPr>
                <w:sz w:val="22"/>
                <w:szCs w:val="22"/>
              </w:rPr>
              <w:t xml:space="preserve"> </w:t>
            </w:r>
          </w:p>
        </w:tc>
      </w:tr>
      <w:tr w:rsidR="00E66558" w:rsidTr="345A7029" w14:paraId="2A7D54FE"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D71E8" w14:paraId="2A7D54FC" w14:textId="77777777">
            <w:pPr>
              <w:pStyle w:val="TableRow"/>
              <w:rPr>
                <w:sz w:val="22"/>
                <w:szCs w:val="22"/>
              </w:rPr>
            </w:pPr>
            <w:bookmarkStart w:name="_Toc443397160" w:id="16"/>
            <w:r>
              <w:rPr>
                <w:sz w:val="22"/>
                <w:szCs w:val="22"/>
              </w:rPr>
              <w:t>5</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4AC5852E" w14:paraId="3B8E6977" w14:textId="28C7188A">
            <w:pPr>
              <w:pStyle w:val="TableRowCentered"/>
              <w:jc w:val="left"/>
              <w:rPr>
                <w:sz w:val="20"/>
              </w:rPr>
            </w:pPr>
            <w:r w:rsidRPr="345A7029">
              <w:rPr>
                <w:sz w:val="20"/>
              </w:rPr>
              <w:t xml:space="preserve">Poor diet </w:t>
            </w:r>
            <w:r w:rsidRPr="345A7029" w:rsidR="42DAD6BA">
              <w:rPr>
                <w:sz w:val="20"/>
              </w:rPr>
              <w:t xml:space="preserve">&amp; health combined with a lack </w:t>
            </w:r>
            <w:r w:rsidRPr="345A7029" w:rsidR="1B378250">
              <w:rPr>
                <w:sz w:val="20"/>
              </w:rPr>
              <w:t xml:space="preserve">of active physical play </w:t>
            </w:r>
            <w:r w:rsidRPr="345A7029" w:rsidR="068AACDD">
              <w:rPr>
                <w:sz w:val="20"/>
              </w:rPr>
              <w:t>outside of</w:t>
            </w:r>
          </w:p>
          <w:p w:rsidR="00E66558" w:rsidP="345A7029" w:rsidRDefault="068AACDD" w14:paraId="2A7D54FD" w14:textId="5BFDDB7A">
            <w:pPr>
              <w:pStyle w:val="TableRowCentered"/>
              <w:jc w:val="left"/>
              <w:rPr>
                <w:sz w:val="20"/>
              </w:rPr>
            </w:pPr>
            <w:r w:rsidRPr="345A7029">
              <w:rPr>
                <w:sz w:val="20"/>
              </w:rPr>
              <w:t>school</w:t>
            </w:r>
            <w:r w:rsidRPr="345A7029" w:rsidR="1B378250">
              <w:rPr>
                <w:sz w:val="20"/>
              </w:rPr>
              <w:t xml:space="preserve"> </w:t>
            </w:r>
            <w:r w:rsidRPr="345A7029" w:rsidR="329A4A38">
              <w:rPr>
                <w:sz w:val="20"/>
              </w:rPr>
              <w:t>impacts negatively on children’s health and attendance.</w:t>
            </w:r>
          </w:p>
        </w:tc>
      </w:tr>
      <w:tr w:rsidR="345A7029" w:rsidTr="345A7029" w14:paraId="5690AE86" w14:textId="77777777">
        <w:tc>
          <w:tcPr>
            <w:tcW w:w="147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733B965E" w:rsidP="345A7029" w:rsidRDefault="733B965E" w14:paraId="4176965B" w14:textId="28D6A122">
            <w:pPr>
              <w:pStyle w:val="TableRow"/>
              <w:rPr>
                <w:color w:val="0D0D0D" w:themeColor="text1" w:themeTint="F2"/>
              </w:rPr>
            </w:pPr>
            <w:r w:rsidRPr="345A7029">
              <w:rPr>
                <w:color w:val="0D0D0D" w:themeColor="text1" w:themeTint="F2"/>
              </w:rPr>
              <w:t>6</w:t>
            </w:r>
          </w:p>
        </w:tc>
        <w:tc>
          <w:tcPr>
            <w:tcW w:w="800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8FCDB12" w:rsidP="345A7029" w:rsidRDefault="08FCDB12" w14:paraId="6145F4B2" w14:textId="5A96FBD3">
            <w:pPr>
              <w:pStyle w:val="TableRowCentered"/>
              <w:jc w:val="left"/>
              <w:rPr>
                <w:rFonts w:eastAsia="Arial" w:cs="Arial"/>
                <w:color w:val="0D0D0D" w:themeColor="text1" w:themeTint="F2"/>
                <w:sz w:val="20"/>
              </w:rPr>
            </w:pPr>
            <w:r w:rsidRPr="345A7029">
              <w:rPr>
                <w:rFonts w:eastAsia="Arial" w:cs="Arial"/>
                <w:color w:val="000000" w:themeColor="text1"/>
                <w:sz w:val="20"/>
              </w:rPr>
              <w:t>Lockdowns of 2020 and 2021 meant that some children were unable to access some aspect of the curriculum, even when supported by school, this has created some gaps in learning.</w:t>
            </w:r>
          </w:p>
        </w:tc>
      </w:tr>
    </w:tbl>
    <w:p w:rsidR="00E66558" w:rsidRDefault="009D71E8" w14:paraId="2A7D54FF" w14:textId="77777777">
      <w:pPr>
        <w:pStyle w:val="Heading2"/>
        <w:spacing w:before="600"/>
      </w:pPr>
      <w:r w:rsidRPr="345A7029">
        <w:rPr>
          <w:sz w:val="24"/>
          <w:szCs w:val="24"/>
        </w:rPr>
        <w:t>Intended outcomes</w:t>
      </w:r>
      <w:r>
        <w:t xml:space="preserve"> </w:t>
      </w:r>
    </w:p>
    <w:p w:rsidR="00E66558" w:rsidP="345A7029" w:rsidRDefault="009D71E8" w14:paraId="2A7D5500" w14:textId="77777777">
      <w:pPr>
        <w:rPr>
          <w:color w:val="auto"/>
          <w:sz w:val="20"/>
          <w:szCs w:val="20"/>
        </w:rPr>
      </w:pPr>
      <w:r w:rsidRPr="345A7029">
        <w:rPr>
          <w:color w:val="auto"/>
          <w:sz w:val="20"/>
          <w:szCs w:val="20"/>
        </w:rPr>
        <w:t xml:space="preserve">This explains the outcomes we are aiming for </w:t>
      </w:r>
      <w:r w:rsidRPr="345A7029">
        <w:rPr>
          <w:b/>
          <w:bCs/>
          <w:color w:val="auto"/>
          <w:sz w:val="20"/>
          <w:szCs w:val="20"/>
        </w:rPr>
        <w:t>by the end of our current strategy plan</w:t>
      </w:r>
      <w:r w:rsidRPr="345A7029">
        <w:rPr>
          <w:color w:val="auto"/>
          <w:sz w:val="20"/>
          <w:szCs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161"/>
        <w:gridCol w:w="5007"/>
      </w:tblGrid>
      <w:tr w:rsidR="00E66558" w:rsidTr="13618859" w14:paraId="2A7D5503"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1" w14:textId="77777777">
            <w:pPr>
              <w:pStyle w:val="TableHeader"/>
              <w:jc w:val="left"/>
            </w:pPr>
            <w:r>
              <w:t>Intended outcome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02" w14:textId="77777777">
            <w:pPr>
              <w:pStyle w:val="TableHeader"/>
              <w:jc w:val="left"/>
            </w:pPr>
            <w:r>
              <w:t>Success criteria</w:t>
            </w:r>
          </w:p>
        </w:tc>
      </w:tr>
      <w:tr w:rsidR="00E66558" w:rsidTr="13618859" w14:paraId="2A7D550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1AE547E6" w14:paraId="2A7D5504" w14:textId="4278EB10">
            <w:pPr>
              <w:pStyle w:val="TableRow"/>
              <w:numPr>
                <w:ilvl w:val="0"/>
                <w:numId w:val="2"/>
              </w:numPr>
              <w:rPr>
                <w:rFonts w:eastAsia="Arial" w:cs="Arial"/>
                <w:color w:val="0D0D0D" w:themeColor="text1" w:themeTint="F2"/>
                <w:sz w:val="20"/>
                <w:szCs w:val="20"/>
              </w:rPr>
            </w:pPr>
            <w:r w:rsidRPr="345A7029">
              <w:rPr>
                <w:sz w:val="20"/>
                <w:szCs w:val="20"/>
              </w:rPr>
              <w:t>Children to be Y1 ready</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B01295" w:rsidRDefault="1AE547E6" w14:paraId="2A7D5505" w14:textId="3808D56C">
            <w:pPr>
              <w:pStyle w:val="TableRowCentered"/>
              <w:numPr>
                <w:ilvl w:val="0"/>
                <w:numId w:val="7"/>
              </w:numPr>
              <w:jc w:val="left"/>
              <w:rPr>
                <w:rFonts w:eastAsia="Arial" w:cs="Arial"/>
                <w:color w:val="0D0D0D" w:themeColor="text1" w:themeTint="F2"/>
                <w:szCs w:val="24"/>
              </w:rPr>
            </w:pPr>
            <w:r w:rsidRPr="345A7029">
              <w:rPr>
                <w:sz w:val="20"/>
              </w:rPr>
              <w:t>72%</w:t>
            </w:r>
            <w:r w:rsidRPr="345A7029">
              <w:rPr>
                <w:szCs w:val="24"/>
              </w:rPr>
              <w:t xml:space="preserve"> </w:t>
            </w:r>
            <w:r w:rsidRPr="345A7029">
              <w:rPr>
                <w:sz w:val="20"/>
              </w:rPr>
              <w:t>GLD</w:t>
            </w:r>
          </w:p>
        </w:tc>
      </w:tr>
      <w:tr w:rsidR="00E66558" w:rsidTr="13618859" w14:paraId="2A7D5509"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1AE547E6" w14:paraId="2A7D5507" w14:textId="3152193D">
            <w:pPr>
              <w:pStyle w:val="TableRow"/>
              <w:numPr>
                <w:ilvl w:val="0"/>
                <w:numId w:val="2"/>
              </w:numPr>
              <w:rPr>
                <w:rFonts w:eastAsia="Arial" w:cs="Arial"/>
                <w:color w:val="0D0D0D" w:themeColor="text1" w:themeTint="F2"/>
                <w:sz w:val="20"/>
                <w:szCs w:val="20"/>
              </w:rPr>
            </w:pPr>
            <w:r w:rsidRPr="345A7029">
              <w:rPr>
                <w:sz w:val="20"/>
                <w:szCs w:val="20"/>
              </w:rPr>
              <w:t>Children &amp; families receive high level of support. Improved attendance.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B01295" w:rsidRDefault="1AE547E6" w14:paraId="0CA2D6BA" w14:textId="2F2E2C01">
            <w:pPr>
              <w:pStyle w:val="TableRowCentered"/>
              <w:numPr>
                <w:ilvl w:val="0"/>
                <w:numId w:val="6"/>
              </w:numPr>
              <w:jc w:val="left"/>
              <w:rPr>
                <w:rFonts w:eastAsia="Arial" w:cs="Arial"/>
                <w:color w:val="0D0D0D" w:themeColor="text1" w:themeTint="F2"/>
                <w:sz w:val="20"/>
              </w:rPr>
            </w:pPr>
            <w:r w:rsidRPr="345A7029">
              <w:rPr>
                <w:sz w:val="20"/>
              </w:rPr>
              <w:t xml:space="preserve">Children can successfully access mainstream provision and engage with their learning &amp; feel safe. </w:t>
            </w:r>
          </w:p>
          <w:p w:rsidR="00496EF0" w:rsidP="00B01295" w:rsidRDefault="1AE547E6" w14:paraId="2A7D5508" w14:textId="1730C623">
            <w:pPr>
              <w:pStyle w:val="TableRowCentered"/>
              <w:numPr>
                <w:ilvl w:val="0"/>
                <w:numId w:val="6"/>
              </w:numPr>
              <w:jc w:val="left"/>
              <w:rPr>
                <w:rFonts w:eastAsia="Arial" w:cs="Arial"/>
                <w:color w:val="0D0D0D" w:themeColor="text1" w:themeTint="F2"/>
                <w:sz w:val="20"/>
              </w:rPr>
            </w:pPr>
            <w:r w:rsidRPr="345A7029">
              <w:rPr>
                <w:sz w:val="20"/>
              </w:rPr>
              <w:t xml:space="preserve">Attendance figures in line </w:t>
            </w:r>
            <w:r w:rsidRPr="345A7029" w:rsidR="7FE3EAD4">
              <w:rPr>
                <w:sz w:val="20"/>
              </w:rPr>
              <w:t>with national</w:t>
            </w:r>
          </w:p>
        </w:tc>
      </w:tr>
      <w:tr w:rsidR="00E66558" w:rsidTr="13618859" w14:paraId="2A7D550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1AE547E6" w14:paraId="2A7D550A" w14:textId="64BDD28E">
            <w:pPr>
              <w:pStyle w:val="TableRow"/>
              <w:numPr>
                <w:ilvl w:val="0"/>
                <w:numId w:val="2"/>
              </w:numPr>
              <w:rPr>
                <w:rFonts w:eastAsia="Arial" w:cs="Arial"/>
                <w:color w:val="0D0D0D" w:themeColor="text1" w:themeTint="F2"/>
                <w:sz w:val="20"/>
                <w:szCs w:val="20"/>
              </w:rPr>
            </w:pPr>
            <w:r w:rsidRPr="345A7029">
              <w:rPr>
                <w:sz w:val="20"/>
                <w:szCs w:val="20"/>
              </w:rPr>
              <w:t>Children are ready for the next stage of their education</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B01295" w:rsidRDefault="1AE547E6" w14:paraId="2A7D550B" w14:textId="3DD27030">
            <w:pPr>
              <w:pStyle w:val="TableRowCentered"/>
              <w:numPr>
                <w:ilvl w:val="0"/>
                <w:numId w:val="3"/>
              </w:numPr>
              <w:jc w:val="left"/>
              <w:rPr>
                <w:rFonts w:eastAsia="Arial" w:cs="Arial"/>
                <w:color w:val="0D0D0D" w:themeColor="text1" w:themeTint="F2"/>
                <w:sz w:val="20"/>
              </w:rPr>
            </w:pPr>
            <w:r w:rsidRPr="345A7029">
              <w:rPr>
                <w:sz w:val="20"/>
              </w:rPr>
              <w:t>Children perform in</w:t>
            </w:r>
            <w:r w:rsidRPr="345A7029" w:rsidR="61701AFE">
              <w:rPr>
                <w:sz w:val="20"/>
              </w:rPr>
              <w:t xml:space="preserve"> </w:t>
            </w:r>
            <w:r w:rsidRPr="345A7029">
              <w:rPr>
                <w:sz w:val="20"/>
              </w:rPr>
              <w:t xml:space="preserve">line with their </w:t>
            </w:r>
            <w:r w:rsidRPr="345A7029" w:rsidR="62369DD4">
              <w:rPr>
                <w:sz w:val="20"/>
              </w:rPr>
              <w:t xml:space="preserve">       </w:t>
            </w:r>
            <w:r w:rsidRPr="345A7029">
              <w:rPr>
                <w:sz w:val="20"/>
              </w:rPr>
              <w:t>peers at end of KS testing</w:t>
            </w:r>
          </w:p>
        </w:tc>
      </w:tr>
      <w:tr w:rsidR="00E66558" w:rsidTr="13618859" w14:paraId="2A7D550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1AE547E6" w14:paraId="2A7D550D" w14:textId="7918EE45">
            <w:pPr>
              <w:pStyle w:val="TableRow"/>
              <w:numPr>
                <w:ilvl w:val="0"/>
                <w:numId w:val="2"/>
              </w:numPr>
              <w:rPr>
                <w:rFonts w:eastAsia="Arial" w:cs="Arial"/>
                <w:color w:val="0D0D0D" w:themeColor="text1" w:themeTint="F2"/>
              </w:rPr>
            </w:pPr>
            <w:r w:rsidRPr="345A7029">
              <w:rPr>
                <w:sz w:val="20"/>
                <w:szCs w:val="20"/>
              </w:rPr>
              <w:t>Children engage with the curriculum and enrichment opportunities</w:t>
            </w:r>
            <w:r w:rsidRPr="345A7029">
              <w:t xml:space="preserve"> </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00B01295" w:rsidRDefault="1AE547E6" w14:paraId="2A7D550E" w14:textId="799426C4">
            <w:pPr>
              <w:pStyle w:val="TableRowCentered"/>
              <w:numPr>
                <w:ilvl w:val="0"/>
                <w:numId w:val="5"/>
              </w:numPr>
              <w:jc w:val="left"/>
              <w:rPr>
                <w:rFonts w:eastAsia="Arial" w:cs="Arial"/>
                <w:color w:val="0D0D0D" w:themeColor="text1" w:themeTint="F2"/>
                <w:sz w:val="20"/>
              </w:rPr>
            </w:pPr>
            <w:r w:rsidRPr="345A7029">
              <w:rPr>
                <w:sz w:val="20"/>
              </w:rPr>
              <w:t>Evidenced in pupil voice</w:t>
            </w:r>
          </w:p>
        </w:tc>
      </w:tr>
      <w:tr w:rsidR="00496EF0" w:rsidTr="13618859" w14:paraId="30F76216"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96EF0" w:rsidP="345A7029" w:rsidRDefault="44999EA6" w14:paraId="6A395161" w14:textId="03B8CCB0">
            <w:pPr>
              <w:pStyle w:val="TableRow"/>
              <w:numPr>
                <w:ilvl w:val="0"/>
                <w:numId w:val="2"/>
              </w:numPr>
              <w:rPr>
                <w:rFonts w:eastAsia="Arial" w:cs="Arial"/>
                <w:color w:val="0D0D0D" w:themeColor="text1" w:themeTint="F2"/>
                <w:sz w:val="20"/>
                <w:szCs w:val="20"/>
              </w:rPr>
            </w:pPr>
            <w:r w:rsidRPr="345A7029">
              <w:rPr>
                <w:sz w:val="20"/>
                <w:szCs w:val="20"/>
              </w:rPr>
              <w:t>Children’s’ diet and health</w:t>
            </w:r>
            <w:r w:rsidRPr="345A7029" w:rsidR="0C71A4EA">
              <w:rPr>
                <w:sz w:val="20"/>
                <w:szCs w:val="20"/>
              </w:rPr>
              <w:t>, wellbeing and motivation are improved leading to increased attendance.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496EF0" w:rsidP="00B01295" w:rsidRDefault="44999EA6" w14:paraId="33F3F47E" w14:textId="763F9845">
            <w:pPr>
              <w:pStyle w:val="TableRowCentered"/>
              <w:numPr>
                <w:ilvl w:val="0"/>
                <w:numId w:val="4"/>
              </w:numPr>
              <w:jc w:val="left"/>
              <w:rPr>
                <w:rFonts w:eastAsia="Arial" w:cs="Arial"/>
                <w:color w:val="0D0D0D" w:themeColor="text1" w:themeTint="F2"/>
                <w:szCs w:val="24"/>
              </w:rPr>
            </w:pPr>
            <w:r w:rsidRPr="345A7029">
              <w:rPr>
                <w:sz w:val="20"/>
              </w:rPr>
              <w:t>Increased attendance. Increased engagement in lessons</w:t>
            </w:r>
            <w:r w:rsidRPr="345A7029" w:rsidR="46478F9D">
              <w:rPr>
                <w:sz w:val="20"/>
              </w:rPr>
              <w:t xml:space="preserve"> &amp; at play</w:t>
            </w:r>
            <w:r w:rsidRPr="345A7029">
              <w:rPr>
                <w:sz w:val="20"/>
              </w:rPr>
              <w:t>. Evidence in pupil voice that children show awareness of and engagement with healthy lifestyles.</w:t>
            </w:r>
            <w:r w:rsidRPr="345A7029">
              <w:rPr>
                <w:szCs w:val="24"/>
              </w:rPr>
              <w:t xml:space="preserve"> </w:t>
            </w:r>
          </w:p>
        </w:tc>
      </w:tr>
      <w:tr w:rsidR="345A7029" w:rsidTr="13618859" w14:paraId="0AA7F340"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803D77" w:rsidP="345A7029" w:rsidRDefault="18803D77" w14:paraId="6AC22B27" w14:textId="2C452A3E">
            <w:pPr>
              <w:pStyle w:val="TableRow"/>
              <w:numPr>
                <w:ilvl w:val="0"/>
                <w:numId w:val="2"/>
              </w:numPr>
              <w:rPr>
                <w:rFonts w:ascii="Times New Roman" w:hAnsi="Times New Roman"/>
                <w:color w:val="0D0D0D" w:themeColor="text1" w:themeTint="F2"/>
                <w:sz w:val="20"/>
                <w:szCs w:val="20"/>
              </w:rPr>
            </w:pPr>
            <w:r w:rsidRPr="345A7029">
              <w:rPr>
                <w:rFonts w:eastAsia="Arial" w:cs="Arial"/>
                <w:color w:val="000000" w:themeColor="text1"/>
                <w:sz w:val="20"/>
                <w:szCs w:val="20"/>
              </w:rPr>
              <w:t>Disadvantaged gap diminishes across all year groups.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8803D77" w:rsidP="00B01295" w:rsidRDefault="18803D77" w14:paraId="761CDAA6" w14:textId="36479BB9">
            <w:pPr>
              <w:pStyle w:val="TableRowCentered"/>
              <w:numPr>
                <w:ilvl w:val="0"/>
                <w:numId w:val="4"/>
              </w:numPr>
              <w:jc w:val="left"/>
              <w:rPr>
                <w:rFonts w:eastAsia="Arial" w:cs="Arial"/>
                <w:color w:val="0D0D0D" w:themeColor="text1" w:themeTint="F2"/>
                <w:sz w:val="20"/>
              </w:rPr>
            </w:pPr>
            <w:r w:rsidRPr="345A7029">
              <w:rPr>
                <w:rFonts w:eastAsia="Arial" w:cs="Arial"/>
                <w:color w:val="000000" w:themeColor="text1"/>
                <w:sz w:val="20"/>
              </w:rPr>
              <w:t>Disadvantaged pupils’ attainment is in line with or better than their peer</w:t>
            </w:r>
          </w:p>
        </w:tc>
      </w:tr>
    </w:tbl>
    <w:p w:rsidR="13618859" w:rsidP="13618859" w:rsidRDefault="13618859" w14:paraId="4EE09BB2" w14:textId="39EEDBDA">
      <w:pPr>
        <w:pStyle w:val="Heading2"/>
        <w:rPr>
          <w:sz w:val="24"/>
          <w:szCs w:val="24"/>
        </w:rPr>
      </w:pPr>
    </w:p>
    <w:p w:rsidR="005961F8" w:rsidP="005961F8" w:rsidRDefault="005961F8" w14:paraId="1B75110A" w14:textId="751B741D"/>
    <w:p w:rsidR="005961F8" w:rsidP="005961F8" w:rsidRDefault="005961F8" w14:paraId="39426150" w14:textId="429C1FBE"/>
    <w:p w:rsidRPr="005961F8" w:rsidR="005961F8" w:rsidP="005961F8" w:rsidRDefault="005961F8" w14:paraId="7A7A8227" w14:textId="77777777"/>
    <w:p w:rsidR="00E66558" w:rsidP="345A7029" w:rsidRDefault="009D71E8" w14:paraId="2A7D5512" w14:textId="7B489199">
      <w:pPr>
        <w:pStyle w:val="Heading2"/>
        <w:rPr>
          <w:sz w:val="24"/>
          <w:szCs w:val="24"/>
        </w:rPr>
      </w:pPr>
      <w:r w:rsidRPr="345A7029">
        <w:rPr>
          <w:sz w:val="24"/>
          <w:szCs w:val="24"/>
        </w:rPr>
        <w:t>Activity in this academic year</w:t>
      </w:r>
    </w:p>
    <w:p w:rsidR="00E66558" w:rsidP="345A7029" w:rsidRDefault="009D71E8" w14:paraId="4338F0C5" w14:textId="258A3FE4">
      <w:pPr>
        <w:spacing w:after="480"/>
        <w:rPr>
          <w:sz w:val="20"/>
          <w:szCs w:val="20"/>
        </w:rPr>
      </w:pPr>
      <w:r w:rsidRPr="345A7029">
        <w:rPr>
          <w:sz w:val="20"/>
          <w:szCs w:val="20"/>
        </w:rPr>
        <w:t xml:space="preserve">This details how we intend to spend our pupil premium (and recovery premium funding) </w:t>
      </w:r>
      <w:r w:rsidRPr="345A7029">
        <w:rPr>
          <w:b/>
          <w:bCs/>
          <w:sz w:val="20"/>
          <w:szCs w:val="20"/>
        </w:rPr>
        <w:t>this academic year</w:t>
      </w:r>
      <w:r w:rsidRPr="345A7029">
        <w:rPr>
          <w:sz w:val="20"/>
          <w:szCs w:val="20"/>
        </w:rPr>
        <w:t xml:space="preserve"> to address the challenges listed above.</w:t>
      </w:r>
    </w:p>
    <w:p w:rsidR="00E66558" w:rsidP="345A7029" w:rsidRDefault="009D71E8" w14:paraId="2A7D5514" w14:textId="41A1C8EF">
      <w:pPr>
        <w:spacing w:after="480"/>
        <w:rPr>
          <w:b/>
          <w:bCs/>
          <w:color w:val="1F497D" w:themeColor="text2"/>
        </w:rPr>
      </w:pPr>
      <w:r w:rsidRPr="345A7029">
        <w:rPr>
          <w:b/>
          <w:bCs/>
          <w:color w:val="1F497D" w:themeColor="text2"/>
        </w:rPr>
        <w:t>Teaching (for example, CPD, recruitment and retention)</w:t>
      </w:r>
    </w:p>
    <w:p w:rsidR="00E66558" w:rsidP="105B9E34" w:rsidRDefault="009D71E8" w14:paraId="2A7D5515" w14:textId="09795766">
      <w:pPr>
        <w:rPr>
          <w:i w:val="1"/>
          <w:iCs w:val="1"/>
          <w:sz w:val="20"/>
          <w:szCs w:val="20"/>
        </w:rPr>
      </w:pPr>
      <w:r w:rsidRPr="105B9E34" w:rsidR="009D71E8">
        <w:rPr>
          <w:sz w:val="20"/>
          <w:szCs w:val="20"/>
        </w:rPr>
        <w:t xml:space="preserve">Budgeted cost: £ </w:t>
      </w:r>
      <w:r w:rsidRPr="105B9E34" w:rsidR="78EE9830">
        <w:rPr>
          <w:sz w:val="20"/>
          <w:szCs w:val="20"/>
        </w:rPr>
        <w:t>51,</w:t>
      </w:r>
      <w:r w:rsidRPr="105B9E34" w:rsidR="78AA8AD1">
        <w:rPr>
          <w:sz w:val="20"/>
          <w:szCs w:val="20"/>
        </w:rPr>
        <w:t>975</w:t>
      </w:r>
      <w:r w:rsidRPr="105B9E34" w:rsidR="78EE9830">
        <w:rPr>
          <w:sz w:val="20"/>
          <w:szCs w:val="20"/>
        </w:rPr>
        <w:t xml:space="preserve"> </w:t>
      </w:r>
      <w:r w:rsidRPr="105B9E34" w:rsidR="461BED57">
        <w:rPr>
          <w:i w:val="1"/>
          <w:iCs w:val="1"/>
          <w:sz w:val="20"/>
          <w:szCs w:val="20"/>
        </w:rPr>
        <w:t>k</w:t>
      </w:r>
    </w:p>
    <w:tbl>
      <w:tblPr>
        <w:tblW w:w="10278" w:type="dxa"/>
        <w:tblCellMar>
          <w:left w:w="10" w:type="dxa"/>
          <w:right w:w="10" w:type="dxa"/>
        </w:tblCellMar>
        <w:tblLook w:val="04A0" w:firstRow="1" w:lastRow="0" w:firstColumn="1" w:lastColumn="0" w:noHBand="0" w:noVBand="1"/>
      </w:tblPr>
      <w:tblGrid>
        <w:gridCol w:w="2688"/>
        <w:gridCol w:w="5865"/>
        <w:gridCol w:w="1725"/>
      </w:tblGrid>
      <w:tr w:rsidR="00E66558" w:rsidTr="345A7029" w14:paraId="2A7D5519"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6" w14:textId="77777777">
            <w:pPr>
              <w:pStyle w:val="TableHeader"/>
              <w:jc w:val="left"/>
            </w:pPr>
            <w:r>
              <w:t>Activity</w:t>
            </w:r>
          </w:p>
        </w:tc>
        <w:tc>
          <w:tcPr>
            <w:tcW w:w="5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7" w14:textId="77777777">
            <w:pPr>
              <w:pStyle w:val="TableHeader"/>
              <w:jc w:val="left"/>
            </w:pPr>
            <w:r>
              <w:t>Evidence that supports this approach</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18" w14:textId="77777777">
            <w:pPr>
              <w:pStyle w:val="TableHeader"/>
              <w:jc w:val="left"/>
            </w:pPr>
            <w:r>
              <w:t>Challenge number(s) addressed</w:t>
            </w:r>
          </w:p>
        </w:tc>
      </w:tr>
      <w:tr w:rsidR="00E66558" w:rsidTr="345A7029" w14:paraId="2A7D551D"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148D3D05" w14:paraId="2A7D551A" w14:textId="25FDC0EF">
            <w:pPr>
              <w:pStyle w:val="TableRow"/>
              <w:rPr>
                <w:i/>
                <w:iCs/>
                <w:sz w:val="20"/>
                <w:szCs w:val="20"/>
              </w:rPr>
            </w:pPr>
            <w:r w:rsidRPr="345A7029">
              <w:rPr>
                <w:i/>
                <w:iCs/>
                <w:sz w:val="20"/>
                <w:szCs w:val="20"/>
              </w:rPr>
              <w:t>Recruitment and retention of e</w:t>
            </w:r>
            <w:r w:rsidRPr="345A7029" w:rsidR="3E9C06BC">
              <w:rPr>
                <w:i/>
                <w:iCs/>
                <w:sz w:val="20"/>
                <w:szCs w:val="20"/>
              </w:rPr>
              <w:t xml:space="preserve">xperienced </w:t>
            </w:r>
            <w:r w:rsidRPr="345A7029" w:rsidR="6CABF9D4">
              <w:rPr>
                <w:i/>
                <w:iCs/>
                <w:sz w:val="20"/>
                <w:szCs w:val="20"/>
              </w:rPr>
              <w:t>high-quality</w:t>
            </w:r>
            <w:r w:rsidRPr="345A7029" w:rsidR="3E9C06BC">
              <w:rPr>
                <w:i/>
                <w:iCs/>
                <w:sz w:val="20"/>
                <w:szCs w:val="20"/>
              </w:rPr>
              <w:t xml:space="preserve"> </w:t>
            </w:r>
            <w:r w:rsidRPr="345A7029" w:rsidR="143B0019">
              <w:rPr>
                <w:i/>
                <w:iCs/>
                <w:sz w:val="20"/>
                <w:szCs w:val="20"/>
              </w:rPr>
              <w:t xml:space="preserve">EYFS </w:t>
            </w:r>
            <w:r w:rsidRPr="345A7029" w:rsidR="3E9C06BC">
              <w:rPr>
                <w:i/>
                <w:iCs/>
                <w:sz w:val="20"/>
                <w:szCs w:val="20"/>
              </w:rPr>
              <w:t xml:space="preserve">staff with the appropriate skill set </w:t>
            </w:r>
            <w:r w:rsidRPr="345A7029" w:rsidR="26B89BED">
              <w:rPr>
                <w:i/>
                <w:iCs/>
                <w:sz w:val="20"/>
                <w:szCs w:val="20"/>
              </w:rPr>
              <w:t>to address the gaps identified in the Baseline assessments</w:t>
            </w:r>
            <w:r w:rsidRPr="345A7029" w:rsidR="66252B41">
              <w:rPr>
                <w:i/>
                <w:iCs/>
                <w:sz w:val="20"/>
                <w:szCs w:val="20"/>
              </w:rPr>
              <w:t xml:space="preserve"> through high quality provision and interventions</w:t>
            </w:r>
            <w:r w:rsidRPr="345A7029" w:rsidR="424B6F35">
              <w:rPr>
                <w:i/>
                <w:iCs/>
                <w:sz w:val="20"/>
                <w:szCs w:val="20"/>
              </w:rPr>
              <w:t>.</w:t>
            </w:r>
            <w:r w:rsidRPr="345A7029" w:rsidR="3E9C06BC">
              <w:rPr>
                <w:i/>
                <w:iCs/>
                <w:sz w:val="20"/>
                <w:szCs w:val="20"/>
              </w:rPr>
              <w:t xml:space="preserve"> </w:t>
            </w:r>
          </w:p>
        </w:tc>
        <w:tc>
          <w:tcPr>
            <w:tcW w:w="5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725A7" w:rsidR="00D53D6E" w:rsidP="345A7029" w:rsidRDefault="4984BA8F" w14:paraId="3E21E886" w14:textId="1C83BF8C">
            <w:pPr>
              <w:pStyle w:val="TableRowCentered"/>
              <w:ind w:left="0"/>
              <w:jc w:val="left"/>
              <w:rPr>
                <w:b/>
                <w:bCs/>
                <w:sz w:val="20"/>
              </w:rPr>
            </w:pPr>
            <w:r w:rsidRPr="345A7029">
              <w:rPr>
                <w:b/>
                <w:bCs/>
                <w:sz w:val="20"/>
              </w:rPr>
              <w:t xml:space="preserve">EEF EY Toolkit </w:t>
            </w:r>
          </w:p>
          <w:p w:rsidR="00E53C8F" w:rsidP="345A7029" w:rsidRDefault="14729A67" w14:paraId="568A13D2" w14:textId="1DC01D6D">
            <w:pPr>
              <w:pStyle w:val="TableRowCentered"/>
              <w:ind w:left="0"/>
              <w:jc w:val="left"/>
              <w:rPr>
                <w:color w:val="auto"/>
                <w:sz w:val="20"/>
              </w:rPr>
            </w:pPr>
            <w:r w:rsidRPr="345A7029">
              <w:rPr>
                <w:b/>
                <w:bCs/>
                <w:sz w:val="20"/>
              </w:rPr>
              <w:t>Communication &amp; Language approaches</w:t>
            </w:r>
            <w:r w:rsidRPr="345A7029" w:rsidR="44A53A4B">
              <w:rPr>
                <w:sz w:val="20"/>
              </w:rPr>
              <w:t xml:space="preserve">: </w:t>
            </w:r>
            <w:r w:rsidRPr="345A7029" w:rsidR="44A53A4B">
              <w:rPr>
                <w:rFonts w:eastAsia="Arial" w:cs="Arial"/>
                <w:color w:val="auto"/>
                <w:sz w:val="20"/>
              </w:rPr>
              <w:t>Overall, studies of communication and language approaches consistently show positive benefits for young children’s learning, including their spoken language skills, their expressive vocabulary and their early reading skills. On average, children who are involved in communication and language approaches</w:t>
            </w:r>
            <w:r w:rsidRPr="345A7029" w:rsidR="44A53A4B">
              <w:rPr>
                <w:rFonts w:eastAsia="Arial" w:cs="Arial"/>
                <w:b/>
                <w:bCs/>
                <w:color w:val="auto"/>
                <w:sz w:val="20"/>
              </w:rPr>
              <w:t xml:space="preserve"> make approximately six months’ additional progress</w:t>
            </w:r>
            <w:r w:rsidRPr="345A7029" w:rsidR="44A53A4B">
              <w:rPr>
                <w:rFonts w:eastAsia="Arial" w:cs="Arial"/>
                <w:color w:val="auto"/>
                <w:sz w:val="20"/>
              </w:rPr>
              <w:t xml:space="preserve"> over the course of a year. All children appear to benefit from such approaches, but some studies show slightly larger effects for children from disadvantaged backgrounds.</w:t>
            </w:r>
          </w:p>
          <w:p w:rsidR="00E53C8F" w:rsidP="345A7029" w:rsidRDefault="14729A67" w14:paraId="08267884" w14:textId="13D1E12A">
            <w:pPr>
              <w:pStyle w:val="TableRowCentered"/>
              <w:jc w:val="left"/>
              <w:rPr>
                <w:sz w:val="20"/>
              </w:rPr>
            </w:pPr>
            <w:r w:rsidRPr="345A7029">
              <w:rPr>
                <w:b/>
                <w:bCs/>
                <w:sz w:val="20"/>
              </w:rPr>
              <w:t>Early literacy approaches</w:t>
            </w:r>
            <w:r w:rsidRPr="345A7029" w:rsidR="54E78DFF">
              <w:rPr>
                <w:b/>
                <w:bCs/>
                <w:sz w:val="20"/>
              </w:rPr>
              <w:t xml:space="preserve">: </w:t>
            </w:r>
            <w:r w:rsidRPr="345A7029" w:rsidR="54E78DFF">
              <w:rPr>
                <w:rFonts w:ascii="Roboto" w:hAnsi="Roboto" w:eastAsia="Roboto" w:cs="Roboto"/>
                <w:color w:val="auto"/>
                <w:sz w:val="20"/>
              </w:rPr>
              <w:t xml:space="preserve">Early literacy approaches have been consistently found to have a positive effect on early learning outcomes. The early literacy approaches evaluated to date led to an </w:t>
            </w:r>
            <w:r w:rsidRPr="345A7029" w:rsidR="54E78DFF">
              <w:rPr>
                <w:rFonts w:ascii="Roboto" w:hAnsi="Roboto" w:eastAsia="Roboto" w:cs="Roboto"/>
                <w:b/>
                <w:bCs/>
                <w:color w:val="auto"/>
                <w:sz w:val="20"/>
              </w:rPr>
              <w:t>average impact of four additional months’ progress</w:t>
            </w:r>
            <w:r w:rsidRPr="345A7029" w:rsidR="54E78DFF">
              <w:rPr>
                <w:rFonts w:ascii="Roboto" w:hAnsi="Roboto" w:eastAsia="Roboto" w:cs="Roboto"/>
                <w:color w:val="auto"/>
                <w:sz w:val="20"/>
              </w:rPr>
              <w:t>, with the most effective approaches improving learning by as much as six months.</w:t>
            </w:r>
            <w:r w:rsidRPr="345A7029">
              <w:rPr>
                <w:sz w:val="20"/>
              </w:rPr>
              <w:t xml:space="preserve"> </w:t>
            </w:r>
          </w:p>
          <w:p w:rsidR="00E53C8F" w:rsidP="345A7029" w:rsidRDefault="14729A67" w14:paraId="2E4EF315" w14:textId="78C7E45E">
            <w:pPr>
              <w:pStyle w:val="TableRowCentered"/>
              <w:jc w:val="left"/>
              <w:rPr>
                <w:color w:val="auto"/>
                <w:sz w:val="20"/>
              </w:rPr>
            </w:pPr>
            <w:r w:rsidRPr="345A7029">
              <w:rPr>
                <w:b/>
                <w:bCs/>
                <w:sz w:val="20"/>
              </w:rPr>
              <w:t>Early numeracy approaches</w:t>
            </w:r>
            <w:r w:rsidRPr="345A7029" w:rsidR="575261E7">
              <w:rPr>
                <w:b/>
                <w:bCs/>
                <w:sz w:val="20"/>
              </w:rPr>
              <w:t>:</w:t>
            </w:r>
            <w:r w:rsidRPr="345A7029" w:rsidR="575261E7">
              <w:rPr>
                <w:sz w:val="20"/>
              </w:rPr>
              <w:t xml:space="preserve"> </w:t>
            </w:r>
            <w:r w:rsidRPr="345A7029" w:rsidR="575261E7">
              <w:rPr>
                <w:rFonts w:ascii="Roboto" w:hAnsi="Roboto" w:eastAsia="Roboto" w:cs="Roboto"/>
                <w:color w:val="auto"/>
                <w:sz w:val="20"/>
              </w:rPr>
              <w:t xml:space="preserve">On average, early numeracy approaches have a </w:t>
            </w:r>
            <w:r w:rsidRPr="345A7029" w:rsidR="575261E7">
              <w:rPr>
                <w:rFonts w:ascii="Roboto" w:hAnsi="Roboto" w:eastAsia="Roboto" w:cs="Roboto"/>
                <w:b/>
                <w:bCs/>
                <w:color w:val="auto"/>
                <w:sz w:val="20"/>
              </w:rPr>
              <w:t>positive impact on learning equivalent to approximately six additional months’ progress</w:t>
            </w:r>
            <w:r w:rsidRPr="345A7029" w:rsidR="575261E7">
              <w:rPr>
                <w:rFonts w:ascii="Roboto" w:hAnsi="Roboto" w:eastAsia="Roboto" w:cs="Roboto"/>
                <w:color w:val="auto"/>
                <w:sz w:val="20"/>
              </w:rPr>
              <w:t xml:space="preserve"> for early mathematics outcomes.</w:t>
            </w:r>
            <w:r w:rsidRPr="345A7029">
              <w:rPr>
                <w:color w:val="auto"/>
                <w:sz w:val="20"/>
              </w:rPr>
              <w:t xml:space="preserve"> </w:t>
            </w:r>
          </w:p>
          <w:p w:rsidR="00E53C8F" w:rsidP="345A7029" w:rsidRDefault="14729A67" w14:paraId="5ED9CB1F" w14:textId="150D6036">
            <w:pPr>
              <w:pStyle w:val="TableRowCentered"/>
              <w:jc w:val="left"/>
              <w:rPr>
                <w:b/>
                <w:bCs/>
                <w:sz w:val="20"/>
              </w:rPr>
            </w:pPr>
            <w:r w:rsidRPr="345A7029">
              <w:rPr>
                <w:b/>
                <w:bCs/>
                <w:sz w:val="20"/>
              </w:rPr>
              <w:t xml:space="preserve">Parental </w:t>
            </w:r>
            <w:r w:rsidRPr="345A7029" w:rsidR="685D86C4">
              <w:rPr>
                <w:b/>
                <w:bCs/>
                <w:sz w:val="20"/>
              </w:rPr>
              <w:t>engagement:</w:t>
            </w:r>
          </w:p>
          <w:p w:rsidR="69FDB73D" w:rsidP="345A7029" w:rsidRDefault="69FDB73D" w14:paraId="32EDC802" w14:textId="086181AF">
            <w:pPr>
              <w:pStyle w:val="TableRowCentered"/>
              <w:jc w:val="left"/>
              <w:rPr>
                <w:rFonts w:eastAsia="Arial" w:cs="Arial"/>
                <w:color w:val="auto"/>
                <w:sz w:val="20"/>
              </w:rPr>
            </w:pPr>
            <w:r w:rsidRPr="345A7029">
              <w:rPr>
                <w:rFonts w:eastAsia="Arial" w:cs="Arial"/>
                <w:color w:val="auto"/>
                <w:sz w:val="20"/>
              </w:rPr>
              <w:t xml:space="preserve">Parental engagement in early years education is consistently associated with children’s subsequent academic success. On average, parental engagement programmes evaluated to date have led to a </w:t>
            </w:r>
            <w:r w:rsidRPr="345A7029">
              <w:rPr>
                <w:rFonts w:eastAsia="Arial" w:cs="Arial"/>
                <w:b/>
                <w:bCs/>
                <w:color w:val="auto"/>
                <w:sz w:val="20"/>
              </w:rPr>
              <w:t>positive impact of approximately four additional months’ progress</w:t>
            </w:r>
            <w:r w:rsidRPr="345A7029">
              <w:rPr>
                <w:rFonts w:eastAsia="Arial" w:cs="Arial"/>
                <w:color w:val="auto"/>
                <w:sz w:val="20"/>
              </w:rPr>
              <w:t xml:space="preserve"> over the course of a year.</w:t>
            </w:r>
            <w:r w:rsidRPr="345A7029" w:rsidR="549A0F70">
              <w:rPr>
                <w:rFonts w:eastAsia="Arial" w:cs="Arial"/>
                <w:color w:val="auto"/>
                <w:sz w:val="20"/>
              </w:rPr>
              <w:t xml:space="preserve"> At NSN we have found that using social media and Tapestry are tools that are helping with parental engagement as well as having staff on hand </w:t>
            </w:r>
            <w:r w:rsidRPr="345A7029" w:rsidR="2C226C94">
              <w:rPr>
                <w:rFonts w:eastAsia="Arial" w:cs="Arial"/>
                <w:color w:val="auto"/>
                <w:sz w:val="20"/>
              </w:rPr>
              <w:t xml:space="preserve">at the start and end of the day to chat to parents and help with any questions/concerns. </w:t>
            </w:r>
          </w:p>
          <w:p w:rsidR="00E53C8F" w:rsidP="345A7029" w:rsidRDefault="14729A67" w14:paraId="1D28E85E" w14:textId="1C302F9A">
            <w:pPr>
              <w:pStyle w:val="TableRowCentered"/>
              <w:jc w:val="left"/>
              <w:rPr>
                <w:b/>
                <w:bCs/>
                <w:sz w:val="20"/>
              </w:rPr>
            </w:pPr>
            <w:r w:rsidRPr="345A7029">
              <w:rPr>
                <w:b/>
                <w:bCs/>
                <w:sz w:val="20"/>
              </w:rPr>
              <w:t>Play based learning</w:t>
            </w:r>
            <w:r w:rsidRPr="345A7029" w:rsidR="0BD8C979">
              <w:rPr>
                <w:b/>
                <w:bCs/>
                <w:sz w:val="20"/>
              </w:rPr>
              <w:t xml:space="preserve">: </w:t>
            </w:r>
            <w:r w:rsidRPr="345A7029" w:rsidR="47A32C4D">
              <w:rPr>
                <w:rFonts w:ascii="Roboto" w:hAnsi="Roboto" w:eastAsia="Roboto" w:cs="Roboto"/>
                <w:color w:val="auto"/>
                <w:sz w:val="20"/>
              </w:rPr>
              <w:t xml:space="preserve">On average, studies of play that include a quantitative component suggest that play-based learning approaches </w:t>
            </w:r>
            <w:r w:rsidRPr="345A7029" w:rsidR="47A32C4D">
              <w:rPr>
                <w:rFonts w:ascii="Roboto" w:hAnsi="Roboto" w:eastAsia="Roboto" w:cs="Roboto"/>
                <w:b/>
                <w:bCs/>
                <w:color w:val="auto"/>
                <w:sz w:val="20"/>
              </w:rPr>
              <w:t>improve learning outcomes by approximately five additional months.</w:t>
            </w:r>
            <w:r w:rsidRPr="345A7029" w:rsidR="47A32C4D">
              <w:rPr>
                <w:rFonts w:ascii="Roboto" w:hAnsi="Roboto" w:eastAsia="Roboto" w:cs="Roboto"/>
                <w:color w:val="auto"/>
                <w:sz w:val="20"/>
              </w:rPr>
              <w:t xml:space="preserve"> However, there is substantial variation in effects, suggesting that additional, high-quality research is needed in this area. </w:t>
            </w:r>
            <w:r w:rsidRPr="345A7029" w:rsidR="47A32C4D">
              <w:rPr>
                <w:rFonts w:eastAsia="Arial" w:cs="Arial"/>
                <w:color w:val="auto"/>
                <w:sz w:val="20"/>
              </w:rPr>
              <w:t>Though it is challenging to compare findings across different types of play-based learning approaches, a number of features do appear to be associated with higher learning outcomes. Tentative recommendations include ensuring that learning environments for play are literacy-rich (for example, by providing writing materials or written props for role play activities), and balancing more structured, adult-directed activities with opportunities for child-initiated</w:t>
            </w:r>
            <w:r w:rsidRPr="345A7029" w:rsidR="47A32C4D">
              <w:rPr>
                <w:rFonts w:ascii="Roboto" w:hAnsi="Roboto" w:eastAsia="Roboto" w:cs="Roboto"/>
                <w:color w:val="263238"/>
                <w:sz w:val="20"/>
              </w:rPr>
              <w:t xml:space="preserve"> </w:t>
            </w:r>
            <w:r w:rsidRPr="345A7029" w:rsidR="47A32C4D">
              <w:rPr>
                <w:rFonts w:eastAsia="Arial" w:cs="Arial"/>
                <w:color w:val="auto"/>
                <w:sz w:val="20"/>
              </w:rPr>
              <w:t>play.</w:t>
            </w:r>
            <w:r w:rsidRPr="345A7029" w:rsidR="68D4EBD6">
              <w:rPr>
                <w:rFonts w:eastAsia="Arial" w:cs="Arial"/>
                <w:color w:val="auto"/>
                <w:sz w:val="20"/>
              </w:rPr>
              <w:t xml:space="preserve"> </w:t>
            </w:r>
            <w:r w:rsidRPr="345A7029" w:rsidR="44ECF6B0">
              <w:rPr>
                <w:rFonts w:eastAsia="Arial" w:cs="Arial"/>
                <w:color w:val="auto"/>
                <w:sz w:val="20"/>
              </w:rPr>
              <w:t xml:space="preserve">The research suggests that this approach can have </w:t>
            </w:r>
            <w:r w:rsidRPr="345A7029" w:rsidR="5A44843D">
              <w:rPr>
                <w:rFonts w:eastAsia="Arial" w:cs="Arial"/>
                <w:color w:val="auto"/>
                <w:sz w:val="20"/>
              </w:rPr>
              <w:t>variable</w:t>
            </w:r>
            <w:r w:rsidRPr="345A7029" w:rsidR="44ECF6B0">
              <w:rPr>
                <w:rFonts w:eastAsia="Arial" w:cs="Arial"/>
                <w:color w:val="auto"/>
                <w:sz w:val="20"/>
              </w:rPr>
              <w:t xml:space="preserve"> results </w:t>
            </w:r>
            <w:r w:rsidRPr="345A7029" w:rsidR="62F579AE">
              <w:rPr>
                <w:rFonts w:eastAsia="Arial" w:cs="Arial"/>
                <w:color w:val="auto"/>
                <w:sz w:val="20"/>
              </w:rPr>
              <w:t>however</w:t>
            </w:r>
            <w:r w:rsidRPr="345A7029" w:rsidR="44ECF6B0">
              <w:rPr>
                <w:rFonts w:eastAsia="Arial" w:cs="Arial"/>
                <w:color w:val="auto"/>
                <w:sz w:val="20"/>
              </w:rPr>
              <w:t xml:space="preserve"> due to experienced and highly skilled staff at NSN this approach </w:t>
            </w:r>
            <w:r w:rsidRPr="345A7029" w:rsidR="56EC0AC1">
              <w:rPr>
                <w:rFonts w:eastAsia="Arial" w:cs="Arial"/>
                <w:color w:val="auto"/>
                <w:sz w:val="20"/>
              </w:rPr>
              <w:t>yields strong outcomes.</w:t>
            </w:r>
          </w:p>
          <w:p w:rsidR="00E53C8F" w:rsidP="345A7029" w:rsidRDefault="14729A67" w14:paraId="02D9B1B2" w14:textId="148C3930">
            <w:pPr>
              <w:pStyle w:val="TableRowCentered"/>
              <w:jc w:val="left"/>
              <w:rPr>
                <w:rFonts w:eastAsia="Arial" w:cs="Arial"/>
                <w:color w:val="auto"/>
                <w:sz w:val="20"/>
              </w:rPr>
            </w:pPr>
            <w:r w:rsidRPr="345A7029">
              <w:rPr>
                <w:b/>
                <w:bCs/>
                <w:sz w:val="20"/>
              </w:rPr>
              <w:t>Physical develop approaches</w:t>
            </w:r>
            <w:r w:rsidRPr="345A7029" w:rsidR="11BB2DBB">
              <w:rPr>
                <w:b/>
                <w:bCs/>
                <w:sz w:val="20"/>
              </w:rPr>
              <w:t>:</w:t>
            </w:r>
            <w:r w:rsidRPr="345A7029">
              <w:rPr>
                <w:b/>
                <w:bCs/>
                <w:sz w:val="20"/>
              </w:rPr>
              <w:t xml:space="preserve"> </w:t>
            </w:r>
            <w:r w:rsidRPr="345A7029" w:rsidR="511526F4">
              <w:rPr>
                <w:rFonts w:eastAsia="Arial" w:cs="Arial"/>
                <w:color w:val="auto"/>
                <w:sz w:val="20"/>
              </w:rPr>
              <w:t xml:space="preserve">Though the overall picture is positive, the evidence base is not </w:t>
            </w:r>
            <w:r w:rsidRPr="345A7029" w:rsidR="50421B87">
              <w:rPr>
                <w:rFonts w:eastAsia="Arial" w:cs="Arial"/>
                <w:color w:val="auto"/>
                <w:sz w:val="20"/>
              </w:rPr>
              <w:t>well-developed,</w:t>
            </w:r>
            <w:r w:rsidRPr="345A7029" w:rsidR="511526F4">
              <w:rPr>
                <w:rFonts w:eastAsia="Arial" w:cs="Arial"/>
                <w:color w:val="auto"/>
                <w:sz w:val="20"/>
              </w:rPr>
              <w:t xml:space="preserve"> and findings are inconsistent. Evidence relating to the general positive impact of physical activity on cognitive outcomes is currently stronger than that related to specific programmes. There are some indications that physical activity, including outdoor play, can support children’s learning.</w:t>
            </w:r>
            <w:r w:rsidRPr="345A7029" w:rsidR="5E511C66">
              <w:rPr>
                <w:rFonts w:eastAsia="Arial" w:cs="Arial"/>
                <w:color w:val="auto"/>
                <w:sz w:val="20"/>
              </w:rPr>
              <w:t xml:space="preserve"> At NSN we know that many of our children experience a </w:t>
            </w:r>
            <w:r w:rsidRPr="345A7029" w:rsidR="5E511C66">
              <w:rPr>
                <w:sz w:val="20"/>
              </w:rPr>
              <w:t xml:space="preserve">lack of active physical play outside of school which impacts negatively on </w:t>
            </w:r>
            <w:r w:rsidRPr="345A7029" w:rsidR="4215F6B1">
              <w:rPr>
                <w:sz w:val="20"/>
              </w:rPr>
              <w:t>their</w:t>
            </w:r>
            <w:r w:rsidRPr="345A7029" w:rsidR="5E511C66">
              <w:rPr>
                <w:sz w:val="20"/>
              </w:rPr>
              <w:t xml:space="preserve"> health and attendance</w:t>
            </w:r>
            <w:r w:rsidRPr="345A7029" w:rsidR="548B51CA">
              <w:rPr>
                <w:sz w:val="20"/>
              </w:rPr>
              <w:t>.</w:t>
            </w:r>
            <w:r w:rsidRPr="345A7029" w:rsidR="5E511C66">
              <w:rPr>
                <w:rFonts w:eastAsia="Arial" w:cs="Arial"/>
                <w:color w:val="auto"/>
                <w:sz w:val="20"/>
              </w:rPr>
              <w:t xml:space="preserve"> </w:t>
            </w:r>
          </w:p>
          <w:p w:rsidR="14729A67" w:rsidP="345A7029" w:rsidRDefault="14729A67" w14:paraId="1D062297" w14:textId="1CB773A8">
            <w:pPr>
              <w:rPr>
                <w:rFonts w:eastAsia="Arial" w:cs="Arial"/>
                <w:color w:val="auto"/>
                <w:sz w:val="20"/>
                <w:szCs w:val="20"/>
              </w:rPr>
            </w:pPr>
            <w:r w:rsidRPr="345A7029">
              <w:rPr>
                <w:b/>
                <w:bCs/>
                <w:sz w:val="20"/>
                <w:szCs w:val="20"/>
              </w:rPr>
              <w:t>Self-regulation strategies</w:t>
            </w:r>
            <w:r w:rsidRPr="345A7029" w:rsidR="3268BB22">
              <w:rPr>
                <w:b/>
                <w:bCs/>
                <w:sz w:val="20"/>
                <w:szCs w:val="20"/>
              </w:rPr>
              <w:t>:</w:t>
            </w:r>
            <w:r w:rsidRPr="345A7029" w:rsidR="5F5F432F">
              <w:rPr>
                <w:rFonts w:ascii="Roboto" w:hAnsi="Roboto" w:eastAsia="Roboto" w:cs="Roboto"/>
                <w:color w:val="263238"/>
                <w:sz w:val="20"/>
                <w:szCs w:val="20"/>
              </w:rPr>
              <w:t xml:space="preserve"> </w:t>
            </w:r>
            <w:r w:rsidRPr="345A7029" w:rsidR="5F5F432F">
              <w:rPr>
                <w:rFonts w:eastAsia="Arial" w:cs="Arial"/>
                <w:color w:val="auto"/>
                <w:sz w:val="20"/>
                <w:szCs w:val="20"/>
              </w:rPr>
              <w:t xml:space="preserve">The development of self-regulation and executive function is consistently linked with successful learning, including pre-reading skills, early mathematics and problem solving. Strategies that seek to improve learning by increasing self-regulation have an </w:t>
            </w:r>
            <w:r w:rsidRPr="345A7029" w:rsidR="5F5F432F">
              <w:rPr>
                <w:rFonts w:eastAsia="Arial" w:cs="Arial"/>
                <w:b/>
                <w:bCs/>
                <w:color w:val="auto"/>
                <w:sz w:val="20"/>
                <w:szCs w:val="20"/>
              </w:rPr>
              <w:t>average impact of five additional months’ progress</w:t>
            </w:r>
            <w:r w:rsidRPr="345A7029" w:rsidR="5F5F432F">
              <w:rPr>
                <w:rFonts w:eastAsia="Arial" w:cs="Arial"/>
                <w:color w:val="auto"/>
                <w:sz w:val="20"/>
                <w:szCs w:val="20"/>
              </w:rPr>
              <w:t>. A number of studies suggest that improving the self-regulation skills of children in the early years is likely to have a lasting positive impact on later learning at school, and also have a positive impact on wider outcomes such as behaviour and persistence.</w:t>
            </w:r>
          </w:p>
          <w:p w:rsidR="5F5F432F" w:rsidP="345A7029" w:rsidRDefault="5F5F432F" w14:paraId="1E5AF649" w14:textId="1EC9C418">
            <w:pPr>
              <w:rPr>
                <w:rFonts w:eastAsia="Arial" w:cs="Arial"/>
                <w:color w:val="auto"/>
                <w:sz w:val="20"/>
                <w:szCs w:val="20"/>
              </w:rPr>
            </w:pPr>
            <w:r w:rsidRPr="345A7029">
              <w:rPr>
                <w:rFonts w:eastAsia="Arial" w:cs="Arial"/>
                <w:color w:val="auto"/>
                <w:sz w:val="20"/>
                <w:szCs w:val="20"/>
              </w:rPr>
              <w:t>There are some indications that children from disadvantaged backgrounds are more likely to begin nursery or reception with weaker self-regulation skills than their peers. As a result, embedding self-regulation strategies into early years teaching is likely to be particularly beneficial for children from disadvantaged backgrounds.</w:t>
            </w:r>
          </w:p>
          <w:p w:rsidR="00E53C8F" w:rsidP="345A7029" w:rsidRDefault="14729A67" w14:paraId="2A7D551B" w14:textId="5A7A5100">
            <w:pPr>
              <w:pStyle w:val="TableRowCentered"/>
              <w:jc w:val="left"/>
              <w:rPr>
                <w:color w:val="0D0D0D" w:themeColor="text1" w:themeTint="F2"/>
                <w:sz w:val="20"/>
              </w:rPr>
            </w:pPr>
            <w:r w:rsidRPr="345A7029">
              <w:rPr>
                <w:b/>
                <w:bCs/>
                <w:sz w:val="20"/>
              </w:rPr>
              <w:t>Social and emotional learning strategies</w:t>
            </w:r>
            <w:r w:rsidRPr="345A7029" w:rsidR="000CD097">
              <w:rPr>
                <w:b/>
                <w:bCs/>
                <w:sz w:val="20"/>
              </w:rPr>
              <w:t xml:space="preserve">: </w:t>
            </w:r>
            <w:r w:rsidRPr="345A7029" w:rsidR="25D8BE3A">
              <w:rPr>
                <w:b/>
                <w:bCs/>
                <w:sz w:val="20"/>
              </w:rPr>
              <w:t xml:space="preserve"> </w:t>
            </w:r>
            <w:r w:rsidRPr="345A7029" w:rsidR="35116C28">
              <w:rPr>
                <w:rFonts w:eastAsia="Arial" w:cs="Arial"/>
                <w:color w:val="auto"/>
                <w:sz w:val="20"/>
              </w:rPr>
              <w:t xml:space="preserve">Existing evidence suggests that SEL strategies can have a positive impact on social interactions, attitudes to learning, and learning itself. </w:t>
            </w:r>
            <w:r w:rsidRPr="345A7029" w:rsidR="35116C28">
              <w:rPr>
                <w:rFonts w:eastAsia="Arial" w:cs="Arial"/>
                <w:b/>
                <w:bCs/>
                <w:color w:val="auto"/>
                <w:sz w:val="20"/>
              </w:rPr>
              <w:t>On average, children make around three additional months’ progress</w:t>
            </w:r>
            <w:r w:rsidRPr="345A7029" w:rsidR="35116C28">
              <w:rPr>
                <w:rFonts w:eastAsia="Arial" w:cs="Arial"/>
                <w:color w:val="auto"/>
                <w:sz w:val="20"/>
              </w:rPr>
              <w:t xml:space="preserve"> in early years settings and reception classes. Though, on average, all children benefit, there is also some evidence that social and emotional approaches can benefit disadvantaged children more than their peers.</w:t>
            </w:r>
            <w:r w:rsidRPr="345A7029" w:rsidR="7ADE9891">
              <w:rPr>
                <w:rFonts w:eastAsia="Arial" w:cs="Arial"/>
                <w:color w:val="auto"/>
                <w:sz w:val="20"/>
              </w:rPr>
              <w:t xml:space="preserve"> Improvements seem more likely when approaches are embedded regularly into activities, and when the introduction of SEL approaches is linked to professional development to support and explain the strategies to staff.</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1B17644D" w14:paraId="2A7D551C" w14:textId="6A46792D">
            <w:pPr>
              <w:pStyle w:val="TableRowCentered"/>
              <w:jc w:val="left"/>
              <w:rPr>
                <w:sz w:val="22"/>
                <w:szCs w:val="22"/>
              </w:rPr>
            </w:pPr>
            <w:r w:rsidRPr="345A7029">
              <w:rPr>
                <w:sz w:val="22"/>
                <w:szCs w:val="22"/>
              </w:rPr>
              <w:t>1</w:t>
            </w:r>
          </w:p>
        </w:tc>
      </w:tr>
      <w:tr w:rsidR="00E66558" w:rsidTr="345A7029" w14:paraId="2A7D5521"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29D8DEC7" w14:paraId="2A7D551E" w14:textId="7E24AE58">
            <w:pPr>
              <w:pStyle w:val="TableRow"/>
              <w:rPr>
                <w:i/>
                <w:iCs/>
                <w:sz w:val="20"/>
                <w:szCs w:val="20"/>
              </w:rPr>
            </w:pPr>
            <w:r w:rsidRPr="345A7029">
              <w:rPr>
                <w:i/>
                <w:iCs/>
                <w:sz w:val="20"/>
                <w:szCs w:val="20"/>
              </w:rPr>
              <w:t>Recruitment and retention of additional support staff to e</w:t>
            </w:r>
            <w:r w:rsidRPr="345A7029" w:rsidR="0F9A5460">
              <w:rPr>
                <w:i/>
                <w:iCs/>
                <w:sz w:val="20"/>
                <w:szCs w:val="20"/>
              </w:rPr>
              <w:t>nable PPG children to receive increased and prioritised</w:t>
            </w:r>
            <w:r w:rsidRPr="345A7029">
              <w:rPr>
                <w:i/>
                <w:iCs/>
                <w:sz w:val="20"/>
                <w:szCs w:val="20"/>
              </w:rPr>
              <w:t xml:space="preserve"> high-quality feedback</w:t>
            </w:r>
          </w:p>
        </w:tc>
        <w:tc>
          <w:tcPr>
            <w:tcW w:w="5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C7A03FB" w:rsidP="345A7029" w:rsidRDefault="6C379D99" w14:paraId="1E721325" w14:textId="04E74E7D">
            <w:pPr>
              <w:pStyle w:val="TableRowCentered"/>
              <w:jc w:val="left"/>
              <w:rPr>
                <w:rFonts w:eastAsia="Arial" w:cs="Arial"/>
                <w:b/>
                <w:bCs/>
                <w:color w:val="0D0D0D" w:themeColor="text1" w:themeTint="F2"/>
                <w:sz w:val="20"/>
              </w:rPr>
            </w:pPr>
            <w:r w:rsidRPr="345A7029">
              <w:rPr>
                <w:rFonts w:eastAsia="Arial" w:cs="Arial"/>
                <w:b/>
                <w:bCs/>
                <w:color w:val="auto"/>
                <w:sz w:val="20"/>
              </w:rPr>
              <w:t>EEF Toolkit</w:t>
            </w:r>
          </w:p>
          <w:p w:rsidR="00CD78E9" w:rsidP="345A7029" w:rsidRDefault="6CABF9D4" w14:paraId="2A7D551F" w14:textId="08344FBC">
            <w:pPr>
              <w:pStyle w:val="TableRowCentered"/>
              <w:jc w:val="left"/>
              <w:rPr>
                <w:rFonts w:eastAsia="Arial" w:cs="Arial"/>
                <w:color w:val="auto"/>
                <w:sz w:val="20"/>
              </w:rPr>
            </w:pPr>
            <w:r w:rsidRPr="345A7029">
              <w:rPr>
                <w:rFonts w:eastAsia="Arial" w:cs="Arial"/>
                <w:b/>
                <w:bCs/>
                <w:color w:val="auto"/>
                <w:sz w:val="20"/>
              </w:rPr>
              <w:t>Feedback</w:t>
            </w:r>
            <w:r w:rsidRPr="345A7029" w:rsidR="41124A28">
              <w:rPr>
                <w:rFonts w:eastAsia="Arial" w:cs="Arial"/>
                <w:color w:val="auto"/>
                <w:sz w:val="20"/>
              </w:rPr>
              <w:t>: Providing feedback is a well-evidenced and has a high impact on learning outcomes. Research shows that effective feedb</w:t>
            </w:r>
            <w:r w:rsidRPr="345A7029" w:rsidR="2475EC67">
              <w:rPr>
                <w:rFonts w:eastAsia="Arial" w:cs="Arial"/>
                <w:color w:val="auto"/>
                <w:sz w:val="20"/>
              </w:rPr>
              <w:t xml:space="preserve">ack results in children making an additional </w:t>
            </w:r>
            <w:r w:rsidRPr="345A7029" w:rsidR="631AD198">
              <w:rPr>
                <w:rFonts w:eastAsia="Arial" w:cs="Arial"/>
                <w:b/>
                <w:bCs/>
                <w:color w:val="auto"/>
                <w:sz w:val="20"/>
              </w:rPr>
              <w:t>7</w:t>
            </w:r>
            <w:r w:rsidRPr="345A7029" w:rsidR="2475EC67">
              <w:rPr>
                <w:rFonts w:eastAsia="Arial" w:cs="Arial"/>
                <w:b/>
                <w:bCs/>
                <w:color w:val="auto"/>
                <w:sz w:val="20"/>
              </w:rPr>
              <w:t xml:space="preserve"> months progress</w:t>
            </w:r>
            <w:r w:rsidRPr="345A7029" w:rsidR="2475EC67">
              <w:rPr>
                <w:rFonts w:eastAsia="Arial" w:cs="Arial"/>
                <w:color w:val="auto"/>
                <w:sz w:val="20"/>
              </w:rPr>
              <w:t xml:space="preserve">. </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29D8DEC7" w14:paraId="2A7D5520" w14:textId="421F7A7C">
            <w:pPr>
              <w:pStyle w:val="TableRowCentered"/>
              <w:jc w:val="left"/>
              <w:rPr>
                <w:sz w:val="20"/>
              </w:rPr>
            </w:pPr>
            <w:r w:rsidRPr="345A7029">
              <w:rPr>
                <w:sz w:val="20"/>
              </w:rPr>
              <w:t>2</w:t>
            </w:r>
            <w:r w:rsidRPr="345A7029" w:rsidR="5A8E7BCD">
              <w:rPr>
                <w:sz w:val="20"/>
              </w:rPr>
              <w:t>, 3</w:t>
            </w:r>
          </w:p>
        </w:tc>
      </w:tr>
      <w:tr w:rsidR="0010336B" w:rsidTr="345A7029" w14:paraId="5BDC6F5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10336B" w:rsidR="0010336B" w:rsidP="345A7029" w:rsidRDefault="5A8E7BCD" w14:paraId="44625F47" w14:textId="56DA0BDB">
            <w:pPr>
              <w:pStyle w:val="TableRow"/>
              <w:rPr>
                <w:sz w:val="20"/>
                <w:szCs w:val="20"/>
              </w:rPr>
            </w:pPr>
            <w:r w:rsidRPr="345A7029">
              <w:rPr>
                <w:i/>
                <w:iCs/>
                <w:sz w:val="20"/>
                <w:szCs w:val="20"/>
              </w:rPr>
              <w:t xml:space="preserve">Recruitment and retention of additional support staff to engage pupils in the curriculum </w:t>
            </w:r>
          </w:p>
        </w:tc>
        <w:tc>
          <w:tcPr>
            <w:tcW w:w="5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22CAA1" w:rsidP="345A7029" w:rsidRDefault="5A7B075B" w14:paraId="77288CB1" w14:textId="70B042FF">
            <w:pPr>
              <w:pStyle w:val="TableRowCentered"/>
              <w:ind w:left="0"/>
              <w:jc w:val="left"/>
              <w:rPr>
                <w:b/>
                <w:bCs/>
                <w:color w:val="0D0D0D" w:themeColor="text1" w:themeTint="F2"/>
                <w:sz w:val="20"/>
              </w:rPr>
            </w:pPr>
            <w:r w:rsidRPr="345A7029">
              <w:rPr>
                <w:b/>
                <w:bCs/>
                <w:sz w:val="20"/>
              </w:rPr>
              <w:t>EEF To</w:t>
            </w:r>
            <w:r w:rsidRPr="345A7029" w:rsidR="698167FC">
              <w:rPr>
                <w:b/>
                <w:bCs/>
                <w:sz w:val="20"/>
              </w:rPr>
              <w:t>o</w:t>
            </w:r>
            <w:r w:rsidRPr="345A7029">
              <w:rPr>
                <w:b/>
                <w:bCs/>
                <w:sz w:val="20"/>
              </w:rPr>
              <w:t>lkit</w:t>
            </w:r>
          </w:p>
          <w:p w:rsidR="0010336B" w:rsidP="345A7029" w:rsidRDefault="68948E21" w14:paraId="5998F088" w14:textId="0F394D48">
            <w:pPr>
              <w:rPr>
                <w:rFonts w:eastAsia="Arial" w:cs="Arial"/>
                <w:color w:val="auto"/>
                <w:sz w:val="20"/>
                <w:szCs w:val="20"/>
              </w:rPr>
            </w:pPr>
            <w:r w:rsidRPr="345A7029">
              <w:rPr>
                <w:b/>
                <w:bCs/>
                <w:sz w:val="20"/>
                <w:szCs w:val="20"/>
              </w:rPr>
              <w:t>Arts participation</w:t>
            </w:r>
            <w:r w:rsidRPr="345A7029" w:rsidR="49064F86">
              <w:rPr>
                <w:sz w:val="20"/>
                <w:szCs w:val="20"/>
              </w:rPr>
              <w:t xml:space="preserve">: </w:t>
            </w:r>
            <w:r w:rsidRPr="345A7029" w:rsidR="49064F86">
              <w:rPr>
                <w:rFonts w:eastAsia="Arial" w:cs="Arial"/>
                <w:color w:val="auto"/>
                <w:sz w:val="20"/>
                <w:szCs w:val="20"/>
              </w:rPr>
              <w:t xml:space="preserve">Overall, the average impact of arts participation on other areas of academic learning appears to be positive but moderate, about </w:t>
            </w:r>
            <w:r w:rsidRPr="345A7029" w:rsidR="49064F86">
              <w:rPr>
                <w:rFonts w:eastAsia="Arial" w:cs="Arial"/>
                <w:b/>
                <w:bCs/>
                <w:color w:val="auto"/>
                <w:sz w:val="20"/>
                <w:szCs w:val="20"/>
              </w:rPr>
              <w:t>an additional three months progress.</w:t>
            </w:r>
            <w:r w:rsidRPr="345A7029" w:rsidR="49064F86">
              <w:rPr>
                <w:rFonts w:eastAsia="Arial" w:cs="Arial"/>
                <w:color w:val="auto"/>
                <w:sz w:val="20"/>
                <w:szCs w:val="20"/>
              </w:rPr>
              <w:t xml:space="preserve"> </w:t>
            </w:r>
          </w:p>
          <w:p w:rsidR="0010336B" w:rsidP="345A7029" w:rsidRDefault="49064F86" w14:paraId="4CC74066" w14:textId="6AF80E41">
            <w:pPr>
              <w:rPr>
                <w:rFonts w:eastAsia="Arial" w:cs="Arial"/>
                <w:color w:val="auto"/>
                <w:sz w:val="20"/>
                <w:szCs w:val="20"/>
              </w:rPr>
            </w:pPr>
            <w:r w:rsidRPr="345A7029">
              <w:rPr>
                <w:rFonts w:eastAsia="Arial" w:cs="Arial"/>
                <w:color w:val="auto"/>
                <w:sz w:val="20"/>
                <w:szCs w:val="20"/>
              </w:rPr>
              <w:t>Improved outcomes have been identified in English, mathematics and science.</w:t>
            </w:r>
          </w:p>
          <w:p w:rsidR="0010336B" w:rsidP="345A7029" w:rsidRDefault="49064F86" w14:paraId="7362DE03" w14:textId="77D6E239">
            <w:pPr>
              <w:rPr>
                <w:rFonts w:eastAsia="Arial" w:cs="Arial"/>
                <w:color w:val="000000" w:themeColor="text1"/>
                <w:sz w:val="20"/>
                <w:szCs w:val="20"/>
              </w:rPr>
            </w:pPr>
            <w:r w:rsidRPr="345A7029">
              <w:rPr>
                <w:rFonts w:eastAsia="Arial" w:cs="Arial"/>
                <w:color w:val="000000" w:themeColor="text1"/>
                <w:sz w:val="20"/>
                <w:szCs w:val="20"/>
              </w:rPr>
              <w:t>Some arts activities have been linked with improvements in specific outcomes. For example, there is some evidence of the impact of drama on writing and potential link between music and spatial awareness.</w:t>
            </w:r>
          </w:p>
          <w:p w:rsidR="0010336B" w:rsidP="345A7029" w:rsidRDefault="49064F86" w14:paraId="59B4A2C3" w14:textId="3F2AE88B">
            <w:pPr>
              <w:rPr>
                <w:sz w:val="20"/>
                <w:szCs w:val="20"/>
              </w:rPr>
            </w:pPr>
            <w:r w:rsidRPr="345A7029">
              <w:rPr>
                <w:rFonts w:eastAsia="Arial" w:cs="Arial"/>
                <w:color w:val="000000" w:themeColor="text1"/>
                <w:sz w:val="20"/>
                <w:szCs w:val="20"/>
              </w:rPr>
              <w:t>Wider benefits such as more positive attitudes to learning and increased well-being have also consistently been reported.</w:t>
            </w:r>
            <w:r w:rsidRPr="345A7029" w:rsidR="68948E21">
              <w:rPr>
                <w:sz w:val="20"/>
                <w:szCs w:val="20"/>
              </w:rPr>
              <w:t xml:space="preserve"> </w:t>
            </w:r>
          </w:p>
          <w:p w:rsidR="00A7142E" w:rsidP="345A7029" w:rsidRDefault="48D3DA95" w14:paraId="0CEE03DB" w14:textId="44B829F1">
            <w:pPr>
              <w:pStyle w:val="TableRowCentered"/>
              <w:jc w:val="left"/>
              <w:rPr>
                <w:sz w:val="20"/>
              </w:rPr>
            </w:pPr>
            <w:r w:rsidRPr="345A7029">
              <w:rPr>
                <w:b/>
                <w:bCs/>
                <w:sz w:val="20"/>
              </w:rPr>
              <w:t>Feedback</w:t>
            </w:r>
            <w:r w:rsidRPr="345A7029" w:rsidR="3B9E0614">
              <w:rPr>
                <w:sz w:val="20"/>
              </w:rPr>
              <w:t>:</w:t>
            </w:r>
            <w:r w:rsidRPr="345A7029" w:rsidR="0DA0AEFE">
              <w:rPr>
                <w:sz w:val="20"/>
              </w:rPr>
              <w:t xml:space="preserve"> As above</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0336B" w:rsidP="345A7029" w:rsidRDefault="5A8E7BCD" w14:paraId="2216B2F7" w14:textId="0605B544">
            <w:pPr>
              <w:pStyle w:val="TableRowCentered"/>
              <w:jc w:val="left"/>
              <w:rPr>
                <w:sz w:val="20"/>
              </w:rPr>
            </w:pPr>
            <w:r w:rsidRPr="345A7029">
              <w:rPr>
                <w:sz w:val="20"/>
              </w:rPr>
              <w:t>4</w:t>
            </w:r>
          </w:p>
        </w:tc>
      </w:tr>
      <w:tr w:rsidR="0010336B" w:rsidTr="345A7029" w14:paraId="53B95932"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65D9CB0" w:rsidP="345A7029" w:rsidRDefault="165D9CB0" w14:paraId="36D54F6D" w14:textId="59FBECE5">
            <w:pPr>
              <w:pStyle w:val="TableRow"/>
              <w:rPr>
                <w:i/>
                <w:iCs/>
                <w:sz w:val="20"/>
                <w:szCs w:val="20"/>
              </w:rPr>
            </w:pPr>
            <w:r w:rsidRPr="345A7029">
              <w:rPr>
                <w:i/>
                <w:iCs/>
                <w:sz w:val="20"/>
                <w:szCs w:val="20"/>
              </w:rPr>
              <w:t>Recruitment and retention of</w:t>
            </w:r>
            <w:r w:rsidRPr="345A7029" w:rsidR="38AD446F">
              <w:rPr>
                <w:i/>
                <w:iCs/>
                <w:sz w:val="20"/>
                <w:szCs w:val="20"/>
              </w:rPr>
              <w:t xml:space="preserve"> a </w:t>
            </w:r>
            <w:r w:rsidRPr="345A7029">
              <w:rPr>
                <w:i/>
                <w:iCs/>
                <w:sz w:val="20"/>
                <w:szCs w:val="20"/>
              </w:rPr>
              <w:t xml:space="preserve">high quality Healthy Schools Advocate to enable PPG children to receive additional high </w:t>
            </w:r>
            <w:r w:rsidRPr="345A7029" w:rsidR="31ACF7F7">
              <w:rPr>
                <w:i/>
                <w:iCs/>
                <w:sz w:val="20"/>
                <w:szCs w:val="20"/>
              </w:rPr>
              <w:t xml:space="preserve">quality </w:t>
            </w:r>
            <w:r w:rsidRPr="345A7029">
              <w:rPr>
                <w:i/>
                <w:iCs/>
                <w:sz w:val="20"/>
                <w:szCs w:val="20"/>
              </w:rPr>
              <w:t>provision and extra</w:t>
            </w:r>
            <w:r w:rsidRPr="345A7029" w:rsidR="46118AB8">
              <w:rPr>
                <w:i/>
                <w:iCs/>
                <w:sz w:val="20"/>
                <w:szCs w:val="20"/>
              </w:rPr>
              <w:t>-</w:t>
            </w:r>
            <w:r w:rsidRPr="345A7029">
              <w:rPr>
                <w:i/>
                <w:iCs/>
                <w:sz w:val="20"/>
                <w:szCs w:val="20"/>
              </w:rPr>
              <w:t>curricula</w:t>
            </w:r>
            <w:r w:rsidRPr="345A7029" w:rsidR="249B72A3">
              <w:rPr>
                <w:i/>
                <w:iCs/>
                <w:sz w:val="20"/>
                <w:szCs w:val="20"/>
              </w:rPr>
              <w:t>r</w:t>
            </w:r>
            <w:r w:rsidRPr="345A7029">
              <w:rPr>
                <w:i/>
                <w:iCs/>
                <w:sz w:val="20"/>
                <w:szCs w:val="20"/>
              </w:rPr>
              <w:t xml:space="preserve">  </w:t>
            </w:r>
            <w:r w:rsidRPr="345A7029" w:rsidR="3CB3EB51">
              <w:rPr>
                <w:i/>
                <w:iCs/>
                <w:sz w:val="20"/>
                <w:szCs w:val="20"/>
              </w:rPr>
              <w:t>opportunities to enhance their physical development and wellbeing</w:t>
            </w:r>
            <w:r w:rsidRPr="345A7029" w:rsidR="2CB1A4E5">
              <w:rPr>
                <w:i/>
                <w:iCs/>
                <w:sz w:val="20"/>
                <w:szCs w:val="20"/>
              </w:rPr>
              <w:t>.</w:t>
            </w:r>
          </w:p>
          <w:p w:rsidR="3CB3EB51" w:rsidP="345A7029" w:rsidRDefault="3CB3EB51" w14:paraId="7EF62CE3" w14:textId="53D6BA22">
            <w:pPr>
              <w:pStyle w:val="TableRow"/>
              <w:ind w:left="0"/>
              <w:rPr>
                <w:i/>
                <w:iCs/>
                <w:sz w:val="20"/>
                <w:szCs w:val="20"/>
              </w:rPr>
            </w:pPr>
            <w:r w:rsidRPr="345A7029">
              <w:rPr>
                <w:i/>
                <w:iCs/>
                <w:sz w:val="20"/>
                <w:szCs w:val="20"/>
              </w:rPr>
              <w:t>Deployment of experienced support staff at lunchtimes to provide focussed clubs and provision</w:t>
            </w:r>
            <w:r w:rsidRPr="345A7029" w:rsidR="2A014085">
              <w:rPr>
                <w:i/>
                <w:iCs/>
                <w:sz w:val="20"/>
                <w:szCs w:val="20"/>
              </w:rPr>
              <w:t>.</w:t>
            </w:r>
          </w:p>
          <w:p w:rsidR="345A7029" w:rsidP="345A7029" w:rsidRDefault="345A7029" w14:paraId="653D0224" w14:textId="7E2C0136">
            <w:pPr>
              <w:pStyle w:val="TableRow"/>
              <w:rPr>
                <w:i/>
                <w:iCs/>
                <w:sz w:val="22"/>
                <w:szCs w:val="22"/>
              </w:rPr>
            </w:pPr>
          </w:p>
          <w:p w:rsidR="345A7029" w:rsidP="345A7029" w:rsidRDefault="345A7029" w14:paraId="2FF1576F" w14:textId="4979D1C5">
            <w:pPr>
              <w:pStyle w:val="TableRow"/>
              <w:rPr>
                <w:i/>
                <w:iCs/>
                <w:sz w:val="22"/>
                <w:szCs w:val="22"/>
              </w:rPr>
            </w:pPr>
          </w:p>
          <w:p w:rsidR="345A7029" w:rsidP="345A7029" w:rsidRDefault="345A7029" w14:paraId="06B297A6" w14:textId="1A5C3981">
            <w:pPr>
              <w:pStyle w:val="TableRow"/>
              <w:rPr>
                <w:i/>
                <w:iCs/>
                <w:sz w:val="22"/>
                <w:szCs w:val="22"/>
              </w:rPr>
            </w:pPr>
          </w:p>
          <w:p w:rsidR="0010336B" w:rsidP="345A7029" w:rsidRDefault="0010336B" w14:paraId="7B57C3C4" w14:textId="79E0F8D5">
            <w:pPr>
              <w:pStyle w:val="TableRow"/>
              <w:rPr>
                <w:i/>
                <w:iCs/>
                <w:color w:val="0D0D0D" w:themeColor="text1" w:themeTint="F2"/>
                <w:sz w:val="22"/>
                <w:szCs w:val="22"/>
              </w:rPr>
            </w:pPr>
          </w:p>
        </w:tc>
        <w:tc>
          <w:tcPr>
            <w:tcW w:w="586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2559BD4B" w:rsidP="345A7029" w:rsidRDefault="0D6DDF2D" w14:paraId="3D5BDEAA" w14:textId="1587CFAB">
            <w:pPr>
              <w:pStyle w:val="TableRowCentered"/>
              <w:ind w:left="0"/>
              <w:jc w:val="left"/>
              <w:rPr>
                <w:b/>
                <w:bCs/>
                <w:color w:val="0D0D0D" w:themeColor="text1" w:themeTint="F2"/>
              </w:rPr>
            </w:pPr>
            <w:r w:rsidRPr="345A7029">
              <w:rPr>
                <w:b/>
                <w:bCs/>
                <w:sz w:val="22"/>
                <w:szCs w:val="22"/>
              </w:rPr>
              <w:t>EEF Toolkit</w:t>
            </w:r>
          </w:p>
          <w:p w:rsidR="0010336B" w:rsidP="345A7029" w:rsidRDefault="68948E21" w14:paraId="102A0320" w14:textId="070087C3">
            <w:pPr>
              <w:rPr>
                <w:rFonts w:eastAsia="Arial" w:cs="Arial"/>
                <w:b/>
                <w:bCs/>
                <w:color w:val="000000" w:themeColor="text1"/>
                <w:sz w:val="22"/>
                <w:szCs w:val="22"/>
              </w:rPr>
            </w:pPr>
            <w:r w:rsidRPr="345A7029">
              <w:rPr>
                <w:b/>
                <w:bCs/>
                <w:sz w:val="22"/>
                <w:szCs w:val="22"/>
              </w:rPr>
              <w:t>Physical participation</w:t>
            </w:r>
            <w:r w:rsidRPr="345A7029" w:rsidR="34632D94">
              <w:rPr>
                <w:sz w:val="22"/>
                <w:szCs w:val="22"/>
              </w:rPr>
              <w:t xml:space="preserve">: </w:t>
            </w:r>
            <w:r w:rsidRPr="345A7029" w:rsidR="34632D94">
              <w:rPr>
                <w:rFonts w:eastAsia="Arial" w:cs="Arial"/>
                <w:color w:val="000000" w:themeColor="text1"/>
                <w:sz w:val="22"/>
                <w:szCs w:val="22"/>
              </w:rPr>
              <w:t xml:space="preserve">The average impact of the engaging in physical activity interventions and approaches is about </w:t>
            </w:r>
            <w:r w:rsidRPr="345A7029" w:rsidR="34632D94">
              <w:rPr>
                <w:rFonts w:eastAsia="Arial" w:cs="Arial"/>
                <w:b/>
                <w:bCs/>
                <w:color w:val="000000" w:themeColor="text1"/>
                <w:sz w:val="22"/>
                <w:szCs w:val="22"/>
              </w:rPr>
              <w:t>an additional one month’s progress over the course of a year.</w:t>
            </w:r>
          </w:p>
          <w:p w:rsidR="0010336B" w:rsidP="345A7029" w:rsidRDefault="34632D94" w14:paraId="0A873CFD" w14:textId="4E589151">
            <w:pPr>
              <w:rPr>
                <w:rFonts w:eastAsia="Arial" w:cs="Arial"/>
                <w:color w:val="000000" w:themeColor="text1"/>
                <w:sz w:val="20"/>
                <w:szCs w:val="20"/>
              </w:rPr>
            </w:pPr>
            <w:r w:rsidRPr="345A7029">
              <w:rPr>
                <w:rFonts w:eastAsia="Arial" w:cs="Arial"/>
                <w:color w:val="000000" w:themeColor="text1"/>
                <w:sz w:val="20"/>
                <w:szCs w:val="20"/>
              </w:rPr>
              <w:t>The variability in effects suggests that the quality of the programme and the emphasis on, or connection with, academic learning may make more difference than the specific type of approach or sporting activities involved. Participating in sports and physical activity is likely to have wider health and social benefits.</w:t>
            </w:r>
          </w:p>
          <w:p w:rsidR="0010336B" w:rsidP="345A7029" w:rsidRDefault="34632D94" w14:paraId="70FE26BE" w14:textId="7E962615">
            <w:pPr>
              <w:rPr>
                <w:rFonts w:eastAsia="Arial" w:cs="Arial"/>
                <w:b/>
                <w:bCs/>
                <w:color w:val="000000" w:themeColor="text1"/>
                <w:sz w:val="20"/>
                <w:szCs w:val="20"/>
              </w:rPr>
            </w:pPr>
            <w:r w:rsidRPr="345A7029">
              <w:rPr>
                <w:rFonts w:eastAsia="Arial" w:cs="Arial"/>
                <w:color w:val="000000" w:themeColor="text1"/>
                <w:sz w:val="20"/>
                <w:szCs w:val="20"/>
              </w:rPr>
              <w:t xml:space="preserve">There are </w:t>
            </w:r>
            <w:r w:rsidRPr="345A7029">
              <w:rPr>
                <w:rFonts w:eastAsia="Arial" w:cs="Arial"/>
                <w:b/>
                <w:bCs/>
                <w:color w:val="000000" w:themeColor="text1"/>
                <w:sz w:val="20"/>
                <w:szCs w:val="20"/>
              </w:rPr>
              <w:t>wider benefits</w:t>
            </w:r>
            <w:r w:rsidRPr="345A7029">
              <w:rPr>
                <w:rFonts w:eastAsia="Arial" w:cs="Arial"/>
                <w:color w:val="000000" w:themeColor="text1"/>
                <w:sz w:val="20"/>
                <w:szCs w:val="20"/>
              </w:rPr>
              <w:t xml:space="preserve"> from regular physical activity in terms of </w:t>
            </w:r>
            <w:r w:rsidRPr="345A7029">
              <w:rPr>
                <w:rFonts w:eastAsia="Arial" w:cs="Arial"/>
                <w:b/>
                <w:bCs/>
                <w:color w:val="000000" w:themeColor="text1"/>
                <w:sz w:val="20"/>
                <w:szCs w:val="20"/>
              </w:rPr>
              <w:t xml:space="preserve">physical development, health and wellbeing as well as other potential benefits have been reported such as improved attendance. </w:t>
            </w:r>
          </w:p>
        </w:tc>
        <w:tc>
          <w:tcPr>
            <w:tcW w:w="172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0336B" w:rsidRDefault="0010336B" w14:paraId="612140A1" w14:textId="6D8B07E8">
            <w:pPr>
              <w:pStyle w:val="TableRowCentered"/>
              <w:jc w:val="left"/>
              <w:rPr>
                <w:sz w:val="22"/>
              </w:rPr>
            </w:pPr>
            <w:r>
              <w:rPr>
                <w:sz w:val="22"/>
              </w:rPr>
              <w:t>5</w:t>
            </w:r>
          </w:p>
        </w:tc>
      </w:tr>
    </w:tbl>
    <w:p w:rsidR="00E66558" w:rsidRDefault="00E66558" w14:paraId="2A7D5522" w14:textId="77777777">
      <w:pPr>
        <w:keepNext/>
        <w:spacing w:after="60"/>
        <w:outlineLvl w:val="1"/>
      </w:pPr>
    </w:p>
    <w:p w:rsidR="13618859" w:rsidP="13618859" w:rsidRDefault="13618859" w14:paraId="53ABDFD3" w14:textId="5757A641">
      <w:pPr>
        <w:rPr>
          <w:b/>
          <w:bCs/>
          <w:color w:val="104F75"/>
        </w:rPr>
      </w:pPr>
    </w:p>
    <w:p w:rsidR="00E66558" w:rsidP="345A7029" w:rsidRDefault="009D71E8" w14:paraId="2A7D5523" w14:textId="1DC08891">
      <w:pPr>
        <w:rPr>
          <w:b/>
          <w:bCs/>
          <w:color w:val="104F75"/>
        </w:rPr>
      </w:pPr>
      <w:r w:rsidRPr="345A7029">
        <w:rPr>
          <w:b/>
          <w:bCs/>
          <w:color w:val="104F75"/>
        </w:rPr>
        <w:t xml:space="preserve">Targeted academic support (for example, </w:t>
      </w:r>
      <w:r w:rsidRPr="345A7029" w:rsidR="00D33FE5">
        <w:rPr>
          <w:b/>
          <w:bCs/>
          <w:color w:val="104F75"/>
        </w:rPr>
        <w:t xml:space="preserve">tutoring, one-to-one support </w:t>
      </w:r>
      <w:r w:rsidRPr="345A7029">
        <w:rPr>
          <w:b/>
          <w:bCs/>
          <w:color w:val="104F75"/>
        </w:rPr>
        <w:t xml:space="preserve">structured interventions) </w:t>
      </w:r>
    </w:p>
    <w:p w:rsidR="00E66558" w:rsidP="13618859" w:rsidRDefault="009D71E8" w14:paraId="2A7D5524" w14:textId="006EAE54">
      <w:pPr>
        <w:rPr>
          <w:i/>
          <w:iCs/>
          <w:sz w:val="20"/>
          <w:szCs w:val="20"/>
        </w:rPr>
      </w:pPr>
      <w:r w:rsidRPr="13618859">
        <w:rPr>
          <w:sz w:val="20"/>
          <w:szCs w:val="20"/>
        </w:rPr>
        <w:t xml:space="preserve">Budgeted cost: £ </w:t>
      </w:r>
      <w:r w:rsidRPr="13618859" w:rsidR="00A76F8A">
        <w:rPr>
          <w:sz w:val="20"/>
          <w:szCs w:val="20"/>
        </w:rPr>
        <w:t>117,476</w:t>
      </w:r>
      <w:r w:rsidRPr="13618859" w:rsidR="33F08E6F">
        <w:rPr>
          <w:i/>
          <w:iCs/>
          <w:sz w:val="20"/>
          <w:szCs w:val="20"/>
        </w:rPr>
        <w:t>k</w:t>
      </w:r>
    </w:p>
    <w:tbl>
      <w:tblPr>
        <w:tblW w:w="5000" w:type="pct"/>
        <w:tblCellMar>
          <w:left w:w="10" w:type="dxa"/>
          <w:right w:w="10" w:type="dxa"/>
        </w:tblCellMar>
        <w:tblLook w:val="04A0" w:firstRow="1" w:lastRow="0" w:firstColumn="1" w:lastColumn="0" w:noHBand="0" w:noVBand="1"/>
      </w:tblPr>
      <w:tblGrid>
        <w:gridCol w:w="2881"/>
        <w:gridCol w:w="4560"/>
        <w:gridCol w:w="2727"/>
      </w:tblGrid>
      <w:tr w:rsidR="00E66558" w:rsidTr="13618859" w14:paraId="2A7D5528"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5"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6"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27" w14:textId="77777777">
            <w:pPr>
              <w:pStyle w:val="TableHeader"/>
              <w:jc w:val="left"/>
            </w:pPr>
            <w:r>
              <w:t>Challenge number(s) addressed</w:t>
            </w:r>
          </w:p>
        </w:tc>
      </w:tr>
      <w:tr w:rsidR="00E66558" w:rsidTr="13618859" w14:paraId="2A7D552C"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13618859" w:rsidRDefault="32C763FA" w14:paraId="2DC99581" w14:textId="50AE1296">
            <w:pPr>
              <w:pStyle w:val="TableRow"/>
              <w:rPr>
                <w:sz w:val="20"/>
                <w:szCs w:val="20"/>
              </w:rPr>
            </w:pPr>
            <w:r w:rsidRPr="13618859">
              <w:rPr>
                <w:sz w:val="20"/>
                <w:szCs w:val="20"/>
              </w:rPr>
              <w:t>To recruit and retain additional support staff to support learning in class; to deliver, or to release the teacher to deliver, targeted interventions work.</w:t>
            </w:r>
          </w:p>
          <w:p w:rsidR="00E66558" w:rsidP="13618859" w:rsidRDefault="32C763FA" w14:paraId="37CEEC17" w14:textId="379AD994">
            <w:pPr>
              <w:pStyle w:val="TableRow"/>
              <w:rPr>
                <w:sz w:val="20"/>
                <w:szCs w:val="20"/>
              </w:rPr>
            </w:pPr>
            <w:r w:rsidRPr="13618859">
              <w:rPr>
                <w:sz w:val="20"/>
                <w:szCs w:val="20"/>
              </w:rPr>
              <w:t xml:space="preserve"> </w:t>
            </w:r>
          </w:p>
          <w:p w:rsidR="00E66558" w:rsidP="13618859" w:rsidRDefault="266907E2" w14:paraId="2A7D5529" w14:textId="63AB16A0">
            <w:pPr>
              <w:pStyle w:val="TableRow"/>
              <w:rPr>
                <w:color w:val="0D0D0D" w:themeColor="text1" w:themeTint="F2"/>
              </w:rPr>
            </w:pPr>
            <w:r w:rsidRPr="13618859">
              <w:rPr>
                <w:color w:val="0D0D0D" w:themeColor="text1" w:themeTint="F2"/>
                <w:sz w:val="20"/>
                <w:szCs w:val="20"/>
              </w:rPr>
              <w:t>To deliver additional interventions after school  in order to address gaps in learning.</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725A7" w:rsidR="00AC693D" w:rsidP="345A7029" w:rsidRDefault="61701AFE" w14:paraId="73A35309" w14:textId="77777777">
            <w:pPr>
              <w:pStyle w:val="TableRowCentered"/>
              <w:ind w:left="0"/>
              <w:jc w:val="left"/>
              <w:rPr>
                <w:b/>
                <w:bCs/>
                <w:sz w:val="20"/>
              </w:rPr>
            </w:pPr>
            <w:r w:rsidRPr="345A7029">
              <w:rPr>
                <w:b/>
                <w:bCs/>
                <w:sz w:val="20"/>
              </w:rPr>
              <w:t xml:space="preserve">EEF T&amp;L Toolkit </w:t>
            </w:r>
          </w:p>
          <w:p w:rsidR="61701AFE" w:rsidP="345A7029" w:rsidRDefault="61701AFE" w14:paraId="503AE9AF" w14:textId="3B1A0A9C">
            <w:pPr>
              <w:rPr>
                <w:rFonts w:ascii="Roboto" w:hAnsi="Roboto" w:eastAsia="Roboto" w:cs="Roboto"/>
                <w:color w:val="auto"/>
                <w:sz w:val="20"/>
                <w:szCs w:val="20"/>
              </w:rPr>
            </w:pPr>
            <w:r w:rsidRPr="345A7029">
              <w:rPr>
                <w:b/>
                <w:bCs/>
                <w:sz w:val="20"/>
                <w:szCs w:val="20"/>
              </w:rPr>
              <w:t>Small group tuition</w:t>
            </w:r>
            <w:r w:rsidRPr="345A7029" w:rsidR="775229A0">
              <w:rPr>
                <w:b/>
                <w:bCs/>
                <w:sz w:val="20"/>
                <w:szCs w:val="20"/>
              </w:rPr>
              <w:t xml:space="preserve">: </w:t>
            </w:r>
            <w:r w:rsidRPr="345A7029" w:rsidR="56A49C39">
              <w:rPr>
                <w:rFonts w:ascii="Roboto" w:hAnsi="Roboto" w:eastAsia="Roboto" w:cs="Roboto"/>
                <w:color w:val="auto"/>
                <w:sz w:val="20"/>
                <w:szCs w:val="20"/>
              </w:rPr>
              <w:t>Small group tuition has an a</w:t>
            </w:r>
            <w:r w:rsidRPr="345A7029" w:rsidR="56A49C39">
              <w:rPr>
                <w:rFonts w:ascii="Roboto" w:hAnsi="Roboto" w:eastAsia="Roboto" w:cs="Roboto"/>
                <w:b/>
                <w:bCs/>
                <w:color w:val="auto"/>
                <w:sz w:val="20"/>
                <w:szCs w:val="20"/>
              </w:rPr>
              <w:t xml:space="preserve">verage impact of four months’ additional progress over the course of a year. </w:t>
            </w:r>
            <w:r w:rsidRPr="345A7029" w:rsidR="56A49C39">
              <w:rPr>
                <w:rFonts w:ascii="Roboto" w:hAnsi="Roboto" w:eastAsia="Roboto" w:cs="Roboto"/>
                <w:color w:val="auto"/>
                <w:sz w:val="20"/>
                <w:szCs w:val="20"/>
              </w:rPr>
              <w:t>Small group tuition is most likely to be effective if it is targeted at pupils’ specific needs. Diagnostic assessment can be used to assess the best way to target support.</w:t>
            </w:r>
          </w:p>
          <w:p w:rsidR="00AC693D" w:rsidP="345A7029" w:rsidRDefault="61701AFE" w14:paraId="0C82F372" w14:textId="6F129458">
            <w:pPr>
              <w:pStyle w:val="TableRowCentered"/>
              <w:ind w:left="0"/>
              <w:jc w:val="left"/>
              <w:rPr>
                <w:color w:val="auto"/>
                <w:sz w:val="20"/>
              </w:rPr>
            </w:pPr>
            <w:r w:rsidRPr="345A7029">
              <w:rPr>
                <w:b/>
                <w:bCs/>
                <w:color w:val="auto"/>
                <w:sz w:val="20"/>
              </w:rPr>
              <w:t>Feedback</w:t>
            </w:r>
            <w:r w:rsidRPr="345A7029" w:rsidR="77D65BC2">
              <w:rPr>
                <w:b/>
                <w:bCs/>
                <w:color w:val="auto"/>
                <w:sz w:val="20"/>
              </w:rPr>
              <w:t xml:space="preserve">: </w:t>
            </w:r>
            <w:r w:rsidRPr="345A7029" w:rsidR="77D65BC2">
              <w:rPr>
                <w:color w:val="auto"/>
                <w:sz w:val="20"/>
              </w:rPr>
              <w:t>as above</w:t>
            </w:r>
          </w:p>
          <w:p w:rsidR="00E66558" w:rsidRDefault="00AC693D" w14:paraId="2A7D552A" w14:textId="42371E59">
            <w:pPr>
              <w:pStyle w:val="TableRowCentered"/>
              <w:jc w:val="left"/>
              <w:rPr>
                <w:sz w:val="22"/>
              </w:rPr>
            </w:pPr>
            <w:r>
              <w:rPr>
                <w:sz w:val="22"/>
              </w:rPr>
              <w:t xml:space="preserve"> </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61701AFE" w14:paraId="2A7D552B" w14:textId="3D24ACC3">
            <w:pPr>
              <w:pStyle w:val="TableRowCentered"/>
              <w:jc w:val="left"/>
              <w:rPr>
                <w:sz w:val="22"/>
                <w:szCs w:val="22"/>
              </w:rPr>
            </w:pPr>
            <w:r w:rsidRPr="345A7029">
              <w:rPr>
                <w:sz w:val="22"/>
                <w:szCs w:val="22"/>
              </w:rPr>
              <w:t>3</w:t>
            </w:r>
            <w:r w:rsidRPr="345A7029" w:rsidR="75F76F33">
              <w:rPr>
                <w:sz w:val="22"/>
                <w:szCs w:val="22"/>
              </w:rPr>
              <w:t>, 6</w:t>
            </w:r>
          </w:p>
        </w:tc>
      </w:tr>
    </w:tbl>
    <w:p w:rsidR="13618859" w:rsidRDefault="13618859" w14:paraId="41D51D01" w14:textId="6AFD87EB"/>
    <w:p w:rsidR="00E66558" w:rsidRDefault="00E66558" w14:paraId="2A7D5531" w14:textId="77777777">
      <w:pPr>
        <w:spacing w:after="0"/>
        <w:rPr>
          <w:b/>
          <w:color w:val="104F75"/>
          <w:sz w:val="28"/>
          <w:szCs w:val="28"/>
        </w:rPr>
      </w:pPr>
    </w:p>
    <w:p w:rsidR="13618859" w:rsidP="13618859" w:rsidRDefault="13618859" w14:paraId="7C78A482" w14:textId="67DF7C5B">
      <w:pPr>
        <w:rPr>
          <w:b/>
          <w:bCs/>
          <w:color w:val="104F75"/>
        </w:rPr>
      </w:pPr>
    </w:p>
    <w:p w:rsidR="00E66558" w:rsidP="345A7029" w:rsidRDefault="009D71E8" w14:paraId="2A7D5532" w14:textId="1F3B4F8E">
      <w:pPr>
        <w:rPr>
          <w:b/>
          <w:bCs/>
          <w:color w:val="104F75"/>
        </w:rPr>
      </w:pPr>
      <w:r w:rsidRPr="345A7029">
        <w:rPr>
          <w:b/>
          <w:bCs/>
          <w:color w:val="104F75"/>
        </w:rPr>
        <w:t>Wider strategies (for example, related to attendance, behaviour, wellbeing)</w:t>
      </w:r>
    </w:p>
    <w:p w:rsidR="00E66558" w:rsidP="345A7029" w:rsidRDefault="73844F96" w14:paraId="2A7D5533" w14:textId="6A552107">
      <w:pPr>
        <w:spacing w:before="240" w:after="120"/>
        <w:rPr>
          <w:b/>
          <w:bCs/>
          <w:color w:val="104F75"/>
          <w:sz w:val="20"/>
          <w:szCs w:val="20"/>
        </w:rPr>
      </w:pPr>
      <w:r w:rsidRPr="13618859">
        <w:rPr>
          <w:sz w:val="20"/>
          <w:szCs w:val="20"/>
        </w:rPr>
        <w:t xml:space="preserve">Budgeted cost: £ </w:t>
      </w:r>
      <w:r w:rsidRPr="13618859" w:rsidR="4E584852">
        <w:rPr>
          <w:sz w:val="20"/>
          <w:szCs w:val="20"/>
        </w:rPr>
        <w:t>68,336</w:t>
      </w:r>
      <w:r w:rsidRPr="13618859" w:rsidR="5C0A2375">
        <w:rPr>
          <w:i/>
          <w:iCs/>
          <w:sz w:val="20"/>
          <w:szCs w:val="20"/>
        </w:rPr>
        <w:t>k</w:t>
      </w:r>
    </w:p>
    <w:tbl>
      <w:tblPr>
        <w:tblW w:w="5000" w:type="pct"/>
        <w:tblCellMar>
          <w:left w:w="10" w:type="dxa"/>
          <w:right w:w="10" w:type="dxa"/>
        </w:tblCellMar>
        <w:tblLook w:val="04A0" w:firstRow="1" w:lastRow="0" w:firstColumn="1" w:lastColumn="0" w:noHBand="0" w:noVBand="1"/>
      </w:tblPr>
      <w:tblGrid>
        <w:gridCol w:w="2881"/>
        <w:gridCol w:w="4560"/>
        <w:gridCol w:w="2727"/>
      </w:tblGrid>
      <w:tr w:rsidR="00E66558" w:rsidTr="345A7029" w14:paraId="2A7D5537"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4" w14:textId="77777777">
            <w:pPr>
              <w:pStyle w:val="TableHeader"/>
              <w:jc w:val="left"/>
            </w:pPr>
            <w:r>
              <w:t>Activity</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5" w14:textId="77777777">
            <w:pPr>
              <w:pStyle w:val="TableHeader"/>
              <w:jc w:val="left"/>
            </w:pPr>
            <w:r>
              <w:t>Evidence that supports this approach</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36" w14:textId="77777777">
            <w:pPr>
              <w:pStyle w:val="TableHeader"/>
              <w:jc w:val="left"/>
            </w:pPr>
            <w:r>
              <w:t>Challenge number(s) addressed</w:t>
            </w:r>
          </w:p>
        </w:tc>
      </w:tr>
      <w:tr w:rsidR="00E66558" w:rsidTr="345A7029" w14:paraId="2A7D553B"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AC693D" w:rsidP="345A7029" w:rsidRDefault="213458A8" w14:paraId="50400FD6" w14:textId="24D37DDB">
            <w:pPr>
              <w:pStyle w:val="TableRow"/>
              <w:rPr>
                <w:color w:val="0D0D0D" w:themeColor="text1" w:themeTint="F2"/>
                <w:sz w:val="20"/>
                <w:szCs w:val="20"/>
              </w:rPr>
            </w:pPr>
            <w:r w:rsidRPr="345A7029">
              <w:rPr>
                <w:color w:val="0D0D0D" w:themeColor="text1" w:themeTint="F2"/>
                <w:sz w:val="20"/>
                <w:szCs w:val="20"/>
              </w:rPr>
              <w:t>Recruit and retain increased pastoral Team support to deliver and support:</w:t>
            </w:r>
          </w:p>
          <w:p w:rsidR="00AC693D" w:rsidP="345A7029" w:rsidRDefault="213458A8" w14:paraId="3A075CD0" w14:textId="23B66AF7">
            <w:pPr>
              <w:pStyle w:val="TableRow"/>
              <w:rPr>
                <w:color w:val="0D0D0D" w:themeColor="text1" w:themeTint="F2"/>
                <w:sz w:val="20"/>
                <w:szCs w:val="20"/>
              </w:rPr>
            </w:pPr>
            <w:r w:rsidRPr="345A7029">
              <w:rPr>
                <w:color w:val="0D0D0D" w:themeColor="text1" w:themeTint="F2"/>
                <w:sz w:val="20"/>
                <w:szCs w:val="20"/>
              </w:rPr>
              <w:t>-</w:t>
            </w:r>
            <w:r w:rsidRPr="345A7029" w:rsidR="48E1909B">
              <w:rPr>
                <w:color w:val="0D0D0D" w:themeColor="text1" w:themeTint="F2"/>
                <w:sz w:val="20"/>
                <w:szCs w:val="20"/>
              </w:rPr>
              <w:t>Restorative</w:t>
            </w:r>
            <w:r w:rsidRPr="345A7029">
              <w:rPr>
                <w:color w:val="0D0D0D" w:themeColor="text1" w:themeTint="F2"/>
                <w:sz w:val="20"/>
                <w:szCs w:val="20"/>
              </w:rPr>
              <w:t xml:space="preserve"> Practice ethos &amp; strategies</w:t>
            </w:r>
          </w:p>
          <w:p w:rsidR="00AC693D" w:rsidP="345A7029" w:rsidRDefault="213458A8" w14:paraId="10DF7CBA" w14:textId="20F95DE6">
            <w:pPr>
              <w:pStyle w:val="TableRow"/>
              <w:rPr>
                <w:color w:val="0D0D0D" w:themeColor="text1" w:themeTint="F2"/>
                <w:sz w:val="20"/>
                <w:szCs w:val="20"/>
              </w:rPr>
            </w:pPr>
            <w:r w:rsidRPr="345A7029">
              <w:rPr>
                <w:color w:val="0D0D0D" w:themeColor="text1" w:themeTint="F2"/>
                <w:sz w:val="20"/>
                <w:szCs w:val="20"/>
              </w:rPr>
              <w:t>-Fami</w:t>
            </w:r>
            <w:r w:rsidRPr="345A7029" w:rsidR="7B03CAF0">
              <w:rPr>
                <w:color w:val="0D0D0D" w:themeColor="text1" w:themeTint="F2"/>
                <w:sz w:val="20"/>
                <w:szCs w:val="20"/>
              </w:rPr>
              <w:t xml:space="preserve">ly </w:t>
            </w:r>
            <w:r w:rsidRPr="345A7029" w:rsidR="271E294C">
              <w:rPr>
                <w:color w:val="0D0D0D" w:themeColor="text1" w:themeTint="F2"/>
                <w:sz w:val="20"/>
                <w:szCs w:val="20"/>
              </w:rPr>
              <w:t>Liaison</w:t>
            </w:r>
          </w:p>
          <w:p w:rsidR="00AC693D" w:rsidP="345A7029" w:rsidRDefault="7B03CAF0" w14:paraId="22A3FFAB" w14:textId="57CD1F13">
            <w:pPr>
              <w:pStyle w:val="TableRow"/>
              <w:rPr>
                <w:color w:val="0D0D0D" w:themeColor="text1" w:themeTint="F2"/>
                <w:sz w:val="20"/>
                <w:szCs w:val="20"/>
              </w:rPr>
            </w:pPr>
            <w:r w:rsidRPr="345A7029">
              <w:rPr>
                <w:color w:val="0D0D0D" w:themeColor="text1" w:themeTint="F2"/>
                <w:sz w:val="20"/>
                <w:szCs w:val="20"/>
              </w:rPr>
              <w:t>-Safeguarding</w:t>
            </w:r>
          </w:p>
          <w:p w:rsidR="00AC693D" w:rsidP="345A7029" w:rsidRDefault="7B03CAF0" w14:paraId="2E812751" w14:textId="628AF7D8">
            <w:pPr>
              <w:pStyle w:val="TableRow"/>
              <w:rPr>
                <w:color w:val="0D0D0D" w:themeColor="text1" w:themeTint="F2"/>
                <w:sz w:val="20"/>
                <w:szCs w:val="20"/>
              </w:rPr>
            </w:pPr>
            <w:r w:rsidRPr="345A7029">
              <w:rPr>
                <w:color w:val="0D0D0D" w:themeColor="text1" w:themeTint="F2"/>
                <w:sz w:val="20"/>
                <w:szCs w:val="20"/>
              </w:rPr>
              <w:t xml:space="preserve">-Engagement with external </w:t>
            </w:r>
            <w:r w:rsidRPr="345A7029" w:rsidR="43676D7C">
              <w:rPr>
                <w:color w:val="0D0D0D" w:themeColor="text1" w:themeTint="F2"/>
                <w:sz w:val="20"/>
                <w:szCs w:val="20"/>
              </w:rPr>
              <w:t>agencies</w:t>
            </w:r>
          </w:p>
          <w:p w:rsidR="00AC693D" w:rsidP="345A7029" w:rsidRDefault="7B03CAF0" w14:paraId="2A7D5538" w14:textId="06D5BCAA">
            <w:pPr>
              <w:pStyle w:val="TableRow"/>
              <w:rPr>
                <w:color w:val="0D0D0D" w:themeColor="text1" w:themeTint="F2"/>
                <w:sz w:val="20"/>
                <w:szCs w:val="20"/>
              </w:rPr>
            </w:pPr>
            <w:r w:rsidRPr="345A7029">
              <w:rPr>
                <w:color w:val="0D0D0D" w:themeColor="text1" w:themeTint="F2"/>
                <w:sz w:val="20"/>
                <w:szCs w:val="20"/>
              </w:rPr>
              <w:t>-Attendance strategies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9725A7" w:rsidR="009725A7" w:rsidP="345A7029" w:rsidRDefault="60EA052C" w14:paraId="37CB4173" w14:textId="751DBAC1">
            <w:pPr>
              <w:pStyle w:val="TableRowCentered"/>
              <w:ind w:left="0"/>
              <w:jc w:val="left"/>
              <w:rPr>
                <w:b/>
                <w:bCs/>
                <w:sz w:val="20"/>
              </w:rPr>
            </w:pPr>
            <w:r w:rsidRPr="345A7029">
              <w:rPr>
                <w:b/>
                <w:bCs/>
                <w:sz w:val="20"/>
              </w:rPr>
              <w:t xml:space="preserve">EEF T&amp;L Toolkit </w:t>
            </w:r>
          </w:p>
          <w:p w:rsidR="00E66558" w:rsidP="345A7029" w:rsidRDefault="60EA052C" w14:paraId="4F1A5484" w14:textId="1AE1A02B">
            <w:pPr>
              <w:pStyle w:val="TableRowCentered"/>
              <w:ind w:left="0"/>
              <w:jc w:val="left"/>
              <w:rPr>
                <w:sz w:val="20"/>
              </w:rPr>
            </w:pPr>
            <w:r w:rsidRPr="345A7029">
              <w:rPr>
                <w:b/>
                <w:bCs/>
                <w:sz w:val="20"/>
              </w:rPr>
              <w:t xml:space="preserve">Social and emotional </w:t>
            </w:r>
            <w:r w:rsidRPr="345A7029" w:rsidR="747A3D29">
              <w:rPr>
                <w:b/>
                <w:bCs/>
                <w:sz w:val="20"/>
              </w:rPr>
              <w:t>lear</w:t>
            </w:r>
            <w:r w:rsidRPr="345A7029" w:rsidR="27BCBDAA">
              <w:rPr>
                <w:b/>
                <w:bCs/>
                <w:sz w:val="20"/>
              </w:rPr>
              <w:t>n</w:t>
            </w:r>
            <w:r w:rsidRPr="345A7029" w:rsidR="747A3D29">
              <w:rPr>
                <w:b/>
                <w:bCs/>
                <w:sz w:val="20"/>
              </w:rPr>
              <w:t>ing</w:t>
            </w:r>
            <w:r w:rsidRPr="345A7029" w:rsidR="49B83A24">
              <w:rPr>
                <w:sz w:val="20"/>
              </w:rPr>
              <w:t xml:space="preserve">: </w:t>
            </w:r>
            <w:r w:rsidRPr="345A7029" w:rsidR="49B83A24">
              <w:rPr>
                <w:rFonts w:eastAsia="Arial" w:cs="Arial"/>
                <w:color w:val="auto"/>
                <w:sz w:val="20"/>
              </w:rPr>
              <w:t xml:space="preserve">The </w:t>
            </w:r>
            <w:r w:rsidRPr="345A7029" w:rsidR="49B83A24">
              <w:rPr>
                <w:rFonts w:eastAsia="Arial" w:cs="Arial"/>
                <w:b/>
                <w:bCs/>
                <w:color w:val="auto"/>
                <w:sz w:val="20"/>
              </w:rPr>
              <w:t>average impact of successful SEL interventions is an additional four months’ progress over the course of a year.</w:t>
            </w:r>
            <w:r w:rsidRPr="345A7029" w:rsidR="49B83A24">
              <w:rPr>
                <w:rFonts w:eastAsia="Arial" w:cs="Arial"/>
                <w:color w:val="auto"/>
                <w:sz w:val="20"/>
              </w:rPr>
              <w:t xml:space="preserve"> The security of this evidence is, however, very low, so schools should carefully monitor the efficacy of approaches in their own settings. Alongside academic outcomes, SEL interventions have an identifiable and valuable impact on attitudes to learning and social relationships in school.</w:t>
            </w:r>
            <w:r w:rsidRPr="345A7029">
              <w:rPr>
                <w:rFonts w:eastAsia="Arial" w:cs="Arial"/>
                <w:color w:val="auto"/>
                <w:sz w:val="20"/>
              </w:rPr>
              <w:t xml:space="preserve"> </w:t>
            </w:r>
          </w:p>
          <w:p w:rsidR="334802C0" w:rsidP="345A7029" w:rsidRDefault="334802C0" w14:paraId="404BFCFE" w14:textId="1618687F">
            <w:pPr>
              <w:pStyle w:val="TableRowCentered"/>
              <w:ind w:left="0"/>
              <w:jc w:val="left"/>
              <w:rPr>
                <w:color w:val="0D0D0D" w:themeColor="text1" w:themeTint="F2"/>
                <w:szCs w:val="24"/>
              </w:rPr>
            </w:pPr>
            <w:r w:rsidRPr="345A7029">
              <w:rPr>
                <w:rFonts w:eastAsia="Arial" w:cs="Arial"/>
                <w:color w:val="auto"/>
                <w:sz w:val="20"/>
              </w:rPr>
              <w:t>Evidence suggests that children from disadvantaged backgrounds have, on average, weaker SEL skills at all ages than their more affluent peers. These skills are likely to influence a range of outcomes for pupils: lower SEL skills are linked with poorer mental health and lower academic attainment.</w:t>
            </w:r>
            <w:r>
              <w:br/>
            </w:r>
            <w:r w:rsidRPr="345A7029">
              <w:rPr>
                <w:rFonts w:eastAsia="Arial" w:cs="Arial"/>
                <w:color w:val="auto"/>
                <w:sz w:val="20"/>
              </w:rPr>
              <w:t>SEL interventions in education are shown to improve SEL skills and are therefore likely to support disadvantaged pupils to understand and engage in healthy relationships with peers and emotional self-regulation, both of which may subsequently increase academic attainment.</w:t>
            </w:r>
          </w:p>
          <w:p w:rsidR="2E23540E" w:rsidP="345A7029" w:rsidRDefault="2E23540E" w14:paraId="43C7538B" w14:textId="33651AED">
            <w:pPr>
              <w:pStyle w:val="TableRowCentered"/>
              <w:ind w:left="0"/>
              <w:jc w:val="left"/>
              <w:rPr>
                <w:rFonts w:eastAsia="Arial" w:cs="Arial"/>
                <w:color w:val="auto"/>
                <w:sz w:val="22"/>
                <w:szCs w:val="22"/>
              </w:rPr>
            </w:pPr>
            <w:r w:rsidRPr="345A7029">
              <w:rPr>
                <w:rFonts w:eastAsia="Arial" w:cs="Arial"/>
                <w:color w:val="auto"/>
                <w:sz w:val="20"/>
              </w:rPr>
              <w:t xml:space="preserve">The context at NSN is that many of our children struggle to regulate and understand their emotions so these approaches </w:t>
            </w:r>
            <w:r w:rsidRPr="345A7029" w:rsidR="2506880D">
              <w:rPr>
                <w:rFonts w:eastAsia="Arial" w:cs="Arial"/>
                <w:color w:val="auto"/>
                <w:sz w:val="20"/>
              </w:rPr>
              <w:t>develop</w:t>
            </w:r>
            <w:r w:rsidRPr="345A7029">
              <w:rPr>
                <w:rFonts w:eastAsia="Arial" w:cs="Arial"/>
                <w:color w:val="auto"/>
                <w:sz w:val="20"/>
              </w:rPr>
              <w:t xml:space="preserve"> vit</w:t>
            </w:r>
            <w:r w:rsidRPr="345A7029" w:rsidR="012CCC01">
              <w:rPr>
                <w:rFonts w:eastAsia="Arial" w:cs="Arial"/>
                <w:color w:val="auto"/>
                <w:sz w:val="20"/>
              </w:rPr>
              <w:t>al skills to enable the children to access learning but also to be successful</w:t>
            </w:r>
            <w:r w:rsidRPr="345A7029" w:rsidR="53C3BE02">
              <w:rPr>
                <w:rFonts w:eastAsia="Arial" w:cs="Arial"/>
                <w:color w:val="auto"/>
                <w:sz w:val="20"/>
              </w:rPr>
              <w:t xml:space="preserve"> </w:t>
            </w:r>
            <w:r w:rsidRPr="345A7029" w:rsidR="012CCC01">
              <w:rPr>
                <w:rFonts w:eastAsia="Arial" w:cs="Arial"/>
                <w:color w:val="auto"/>
                <w:sz w:val="20"/>
              </w:rPr>
              <w:t>as they move onto the next stage of education and into adulthood</w:t>
            </w:r>
            <w:r w:rsidRPr="345A7029" w:rsidR="75D6CC26">
              <w:rPr>
                <w:rFonts w:eastAsia="Arial" w:cs="Arial"/>
                <w:color w:val="auto"/>
                <w:sz w:val="20"/>
              </w:rPr>
              <w:t>.</w:t>
            </w:r>
          </w:p>
          <w:p w:rsidR="60EA052C" w:rsidP="345A7029" w:rsidRDefault="60EA052C" w14:paraId="3A62AA35" w14:textId="2A3AC4F3">
            <w:pPr>
              <w:rPr>
                <w:rFonts w:ascii="Roboto" w:hAnsi="Roboto" w:eastAsia="Roboto" w:cs="Roboto"/>
                <w:color w:val="auto"/>
                <w:sz w:val="20"/>
                <w:szCs w:val="20"/>
              </w:rPr>
            </w:pPr>
            <w:r w:rsidRPr="345A7029">
              <w:rPr>
                <w:b/>
                <w:bCs/>
                <w:sz w:val="20"/>
                <w:szCs w:val="20"/>
              </w:rPr>
              <w:t>Behaviour interventions</w:t>
            </w:r>
            <w:r w:rsidRPr="345A7029" w:rsidR="33DB2A51">
              <w:rPr>
                <w:b/>
                <w:bCs/>
                <w:sz w:val="20"/>
                <w:szCs w:val="20"/>
              </w:rPr>
              <w:t xml:space="preserve">: </w:t>
            </w:r>
            <w:r w:rsidRPr="345A7029" w:rsidR="3E479CE5">
              <w:rPr>
                <w:rFonts w:ascii="Roboto" w:hAnsi="Roboto" w:eastAsia="Roboto" w:cs="Roboto"/>
                <w:color w:val="auto"/>
                <w:sz w:val="20"/>
                <w:szCs w:val="20"/>
              </w:rPr>
              <w:t>Both targeted interventions and universal approaches have</w:t>
            </w:r>
            <w:r w:rsidRPr="345A7029" w:rsidR="3E479CE5">
              <w:rPr>
                <w:rFonts w:ascii="Roboto" w:hAnsi="Roboto" w:eastAsia="Roboto" w:cs="Roboto"/>
                <w:b/>
                <w:bCs/>
                <w:color w:val="auto"/>
                <w:sz w:val="20"/>
                <w:szCs w:val="20"/>
              </w:rPr>
              <w:t xml:space="preserve"> positive overall effects (+ 4 months)</w:t>
            </w:r>
            <w:r w:rsidRPr="345A7029" w:rsidR="3E479CE5">
              <w:rPr>
                <w:rFonts w:ascii="Roboto" w:hAnsi="Roboto" w:eastAsia="Roboto" w:cs="Roboto"/>
                <w:color w:val="auto"/>
                <w:sz w:val="20"/>
                <w:szCs w:val="20"/>
              </w:rPr>
              <w:t>. There is evidence across a range of different interventions with highest impacts for approaches that focus on self-management or role-play and rehearsal.</w:t>
            </w:r>
          </w:p>
          <w:p w:rsidR="009725A7" w:rsidP="345A7029" w:rsidRDefault="60EA052C" w14:paraId="3C0CAC22" w14:textId="3401F0CA">
            <w:pPr>
              <w:rPr>
                <w:rFonts w:eastAsia="Arial" w:cs="Arial"/>
                <w:b/>
                <w:bCs/>
                <w:color w:val="auto"/>
                <w:sz w:val="22"/>
                <w:szCs w:val="22"/>
              </w:rPr>
            </w:pPr>
            <w:r w:rsidRPr="345A7029">
              <w:rPr>
                <w:b/>
                <w:bCs/>
                <w:sz w:val="20"/>
                <w:szCs w:val="20"/>
              </w:rPr>
              <w:t>Metacognition and self-regulation</w:t>
            </w:r>
            <w:r w:rsidRPr="345A7029" w:rsidR="12FD2A96">
              <w:rPr>
                <w:b/>
                <w:bCs/>
                <w:sz w:val="20"/>
                <w:szCs w:val="20"/>
              </w:rPr>
              <w:t xml:space="preserve">: </w:t>
            </w:r>
            <w:r w:rsidRPr="345A7029" w:rsidR="12FD2A96">
              <w:rPr>
                <w:rFonts w:eastAsia="Arial" w:cs="Arial"/>
                <w:color w:val="auto"/>
                <w:sz w:val="20"/>
                <w:szCs w:val="20"/>
              </w:rPr>
              <w:t xml:space="preserve">The average impact of metacognition and self-regulation strategies is an </w:t>
            </w:r>
            <w:r w:rsidRPr="345A7029" w:rsidR="12FD2A96">
              <w:rPr>
                <w:rFonts w:eastAsia="Arial" w:cs="Arial"/>
                <w:b/>
                <w:bCs/>
                <w:color w:val="auto"/>
                <w:sz w:val="20"/>
                <w:szCs w:val="20"/>
              </w:rPr>
              <w:t>additional eight months’ progress over the course of a year.</w:t>
            </w:r>
          </w:p>
          <w:p w:rsidR="009725A7" w:rsidP="345A7029" w:rsidRDefault="12FD2A96" w14:paraId="729E832F" w14:textId="1157D038">
            <w:pPr>
              <w:rPr>
                <w:b/>
                <w:bCs/>
                <w:sz w:val="20"/>
                <w:szCs w:val="20"/>
              </w:rPr>
            </w:pPr>
            <w:r w:rsidRPr="345A7029">
              <w:rPr>
                <w:rFonts w:eastAsia="Arial" w:cs="Arial"/>
                <w:color w:val="auto"/>
                <w:sz w:val="20"/>
                <w:szCs w:val="20"/>
              </w:rPr>
              <w:t>Metacognition and self-regulation strategies can be effective when taught in collaborative groups so that learners can support each other and make their thinking explicit through discussion.</w:t>
            </w:r>
            <w:r w:rsidRPr="345A7029" w:rsidR="0F17E0FF">
              <w:rPr>
                <w:b/>
                <w:bCs/>
                <w:sz w:val="20"/>
                <w:szCs w:val="20"/>
              </w:rPr>
              <w:t xml:space="preserve"> </w:t>
            </w:r>
          </w:p>
          <w:p w:rsidR="009725A7" w:rsidP="345A7029" w:rsidRDefault="60EA052C" w14:paraId="3D9C410E" w14:textId="1FE76725">
            <w:pPr>
              <w:rPr>
                <w:rFonts w:eastAsia="Arial" w:cs="Arial"/>
                <w:color w:val="auto"/>
                <w:sz w:val="22"/>
                <w:szCs w:val="22"/>
              </w:rPr>
            </w:pPr>
            <w:r w:rsidRPr="345A7029">
              <w:rPr>
                <w:b/>
                <w:bCs/>
                <w:sz w:val="20"/>
                <w:szCs w:val="20"/>
              </w:rPr>
              <w:t>Parental engagement</w:t>
            </w:r>
            <w:r w:rsidRPr="345A7029" w:rsidR="4F6DED72">
              <w:rPr>
                <w:b/>
                <w:bCs/>
                <w:sz w:val="20"/>
                <w:szCs w:val="20"/>
              </w:rPr>
              <w:t>:</w:t>
            </w:r>
            <w:r w:rsidRPr="345A7029" w:rsidR="4F6DED72">
              <w:rPr>
                <w:rFonts w:ascii="Roboto" w:hAnsi="Roboto" w:eastAsia="Roboto" w:cs="Roboto"/>
                <w:color w:val="FFFFFF" w:themeColor="background1"/>
                <w:sz w:val="20"/>
                <w:szCs w:val="20"/>
              </w:rPr>
              <w:t xml:space="preserve"> </w:t>
            </w:r>
            <w:r w:rsidRPr="345A7029" w:rsidR="4F6DED72">
              <w:rPr>
                <w:rFonts w:eastAsia="Arial" w:cs="Arial"/>
                <w:color w:val="auto"/>
                <w:sz w:val="20"/>
                <w:szCs w:val="20"/>
              </w:rPr>
              <w:t>Parental engagement has a positive impact o</w:t>
            </w:r>
            <w:r w:rsidRPr="345A7029" w:rsidR="4F6DED72">
              <w:rPr>
                <w:rFonts w:eastAsia="Arial" w:cs="Arial"/>
                <w:b/>
                <w:bCs/>
                <w:color w:val="auto"/>
                <w:sz w:val="20"/>
                <w:szCs w:val="20"/>
              </w:rPr>
              <w:t>n average of 4 months’ additional progress</w:t>
            </w:r>
            <w:r w:rsidRPr="345A7029" w:rsidR="4F6DED72">
              <w:rPr>
                <w:rFonts w:eastAsia="Arial" w:cs="Arial"/>
                <w:color w:val="auto"/>
                <w:sz w:val="20"/>
                <w:szCs w:val="20"/>
              </w:rPr>
              <w:t>. It is crucial to consider how to engage with all parents to avoid widening attainment gaps.</w:t>
            </w:r>
          </w:p>
          <w:p w:rsidR="009725A7" w:rsidP="345A7029" w:rsidRDefault="4F6DED72" w14:paraId="2A7D5539" w14:textId="7F00E282">
            <w:pPr>
              <w:rPr>
                <w:rFonts w:eastAsia="Arial" w:cs="Arial"/>
                <w:color w:val="auto"/>
                <w:sz w:val="20"/>
                <w:szCs w:val="20"/>
              </w:rPr>
            </w:pPr>
            <w:r w:rsidRPr="345A7029">
              <w:rPr>
                <w:rFonts w:eastAsia="Arial" w:cs="Arial"/>
                <w:color w:val="auto"/>
                <w:sz w:val="20"/>
                <w:szCs w:val="20"/>
              </w:rPr>
              <w:t>Consider how to tailor school communications to encourage positive dialogue about learning. There is some evidence that personalised messages linked to learning can promote positive interactions.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9725A7" w14:paraId="2A7D553A" w14:textId="3E27FDAB">
            <w:pPr>
              <w:pStyle w:val="TableRowCentered"/>
              <w:jc w:val="left"/>
              <w:rPr>
                <w:sz w:val="22"/>
              </w:rPr>
            </w:pPr>
            <w:r>
              <w:rPr>
                <w:sz w:val="22"/>
              </w:rPr>
              <w:t>2</w:t>
            </w:r>
          </w:p>
        </w:tc>
      </w:tr>
      <w:tr w:rsidR="00E66558" w:rsidTr="345A7029" w14:paraId="2A7D553F"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9A39742" w14:paraId="0421B3EE" w14:textId="465AB45A">
            <w:pPr>
              <w:pStyle w:val="TableRow"/>
              <w:rPr>
                <w:sz w:val="20"/>
                <w:szCs w:val="20"/>
              </w:rPr>
            </w:pPr>
            <w:r w:rsidRPr="345A7029">
              <w:rPr>
                <w:sz w:val="20"/>
                <w:szCs w:val="20"/>
              </w:rPr>
              <w:t xml:space="preserve">Recruit and retain additional support staff to engage pupils in extra curricula activities </w:t>
            </w:r>
          </w:p>
          <w:p w:rsidR="00E66558" w:rsidP="345A7029" w:rsidRDefault="00E66558" w14:paraId="2A7D553C" w14:textId="100746D3">
            <w:pPr>
              <w:pStyle w:val="TableRow"/>
              <w:rPr>
                <w:color w:val="0D0D0D" w:themeColor="text1" w:themeTint="F2"/>
                <w:sz w:val="22"/>
                <w:szCs w:val="22"/>
              </w:rPr>
            </w:pP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4FE2455" w:rsidP="345A7029" w:rsidRDefault="793F7738" w14:paraId="48136E8B" w14:textId="103415D6">
            <w:pPr>
              <w:pStyle w:val="TableRowCentered"/>
              <w:ind w:left="0"/>
              <w:jc w:val="left"/>
              <w:rPr>
                <w:b/>
                <w:bCs/>
                <w:color w:val="0D0D0D" w:themeColor="text1" w:themeTint="F2"/>
                <w:sz w:val="20"/>
              </w:rPr>
            </w:pPr>
            <w:r w:rsidRPr="345A7029">
              <w:rPr>
                <w:b/>
                <w:bCs/>
                <w:sz w:val="20"/>
              </w:rPr>
              <w:t>EEF Toolkit</w:t>
            </w:r>
          </w:p>
          <w:p w:rsidR="00A7142E" w:rsidP="345A7029" w:rsidRDefault="68948E21" w14:paraId="2D04B459" w14:textId="103105F3">
            <w:pPr>
              <w:pStyle w:val="TableRowCentered"/>
              <w:ind w:left="0"/>
              <w:jc w:val="left"/>
              <w:rPr>
                <w:sz w:val="20"/>
              </w:rPr>
            </w:pPr>
            <w:r w:rsidRPr="345A7029">
              <w:rPr>
                <w:b/>
                <w:bCs/>
                <w:sz w:val="20"/>
              </w:rPr>
              <w:t>Physical participation</w:t>
            </w:r>
            <w:r w:rsidRPr="345A7029" w:rsidR="6051AB7A">
              <w:rPr>
                <w:sz w:val="20"/>
              </w:rPr>
              <w:t>: see above</w:t>
            </w:r>
          </w:p>
          <w:p w:rsidR="00E66558" w:rsidP="345A7029" w:rsidRDefault="68948E21" w14:paraId="137FF687" w14:textId="1936E0CA">
            <w:pPr>
              <w:pStyle w:val="TableRowCentered"/>
              <w:ind w:left="0"/>
              <w:jc w:val="left"/>
              <w:rPr>
                <w:sz w:val="22"/>
                <w:szCs w:val="22"/>
              </w:rPr>
            </w:pPr>
            <w:r w:rsidRPr="345A7029">
              <w:rPr>
                <w:b/>
                <w:bCs/>
                <w:sz w:val="20"/>
              </w:rPr>
              <w:t>Arts participation</w:t>
            </w:r>
            <w:r w:rsidRPr="345A7029" w:rsidR="3FCD5494">
              <w:rPr>
                <w:sz w:val="20"/>
              </w:rPr>
              <w:t>: see above</w:t>
            </w:r>
            <w:r w:rsidRPr="345A7029">
              <w:rPr>
                <w:sz w:val="22"/>
                <w:szCs w:val="22"/>
              </w:rPr>
              <w:t xml:space="preserve">  </w:t>
            </w:r>
          </w:p>
          <w:p w:rsidR="00E66558" w:rsidP="345A7029" w:rsidRDefault="00E66558" w14:paraId="2A7D553D" w14:textId="526F9B3B">
            <w:pPr>
              <w:pStyle w:val="TableRowCentered"/>
              <w:jc w:val="left"/>
              <w:rPr>
                <w:color w:val="0D0D0D" w:themeColor="text1" w:themeTint="F2"/>
                <w:sz w:val="22"/>
                <w:szCs w:val="22"/>
              </w:rPr>
            </w:pP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5A8E7BCD" w14:paraId="2A7D553E" w14:textId="503E612F">
            <w:pPr>
              <w:pStyle w:val="TableRowCentered"/>
              <w:jc w:val="left"/>
              <w:rPr>
                <w:sz w:val="22"/>
                <w:szCs w:val="22"/>
              </w:rPr>
            </w:pPr>
            <w:r w:rsidRPr="345A7029">
              <w:rPr>
                <w:sz w:val="22"/>
                <w:szCs w:val="22"/>
              </w:rPr>
              <w:t>4, 5</w:t>
            </w:r>
            <w:r w:rsidRPr="345A7029" w:rsidR="41FE2181">
              <w:rPr>
                <w:sz w:val="22"/>
                <w:szCs w:val="22"/>
              </w:rPr>
              <w:t>, 6</w:t>
            </w:r>
          </w:p>
        </w:tc>
      </w:tr>
      <w:tr w:rsidR="0010336B" w:rsidTr="345A7029" w14:paraId="3A73E8EE" w14:textId="77777777">
        <w:tc>
          <w:tcPr>
            <w:tcW w:w="268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0336B" w:rsidP="345A7029" w:rsidRDefault="16B29CE1" w14:paraId="183F187A" w14:textId="381F2A98">
            <w:pPr>
              <w:pStyle w:val="TableRow"/>
              <w:rPr>
                <w:i/>
                <w:iCs/>
                <w:sz w:val="20"/>
                <w:szCs w:val="20"/>
              </w:rPr>
            </w:pPr>
            <w:r w:rsidRPr="345A7029">
              <w:rPr>
                <w:sz w:val="20"/>
                <w:szCs w:val="20"/>
              </w:rPr>
              <w:t xml:space="preserve">Family </w:t>
            </w:r>
            <w:r w:rsidRPr="345A7029" w:rsidR="27782C1F">
              <w:rPr>
                <w:sz w:val="20"/>
                <w:szCs w:val="20"/>
              </w:rPr>
              <w:t>Laison</w:t>
            </w:r>
            <w:r w:rsidRPr="345A7029">
              <w:rPr>
                <w:sz w:val="20"/>
                <w:szCs w:val="20"/>
              </w:rPr>
              <w:t xml:space="preserve"> work to tackle food</w:t>
            </w:r>
            <w:r w:rsidRPr="345A7029" w:rsidR="72B8CFC8">
              <w:rPr>
                <w:sz w:val="20"/>
                <w:szCs w:val="20"/>
              </w:rPr>
              <w:t xml:space="preserve"> </w:t>
            </w:r>
            <w:r w:rsidRPr="345A7029" w:rsidR="54CF7A68">
              <w:rPr>
                <w:sz w:val="20"/>
                <w:szCs w:val="20"/>
              </w:rPr>
              <w:t>poverty</w:t>
            </w:r>
            <w:r w:rsidRPr="345A7029">
              <w:rPr>
                <w:sz w:val="20"/>
                <w:szCs w:val="20"/>
              </w:rPr>
              <w:t>/budgeting/</w:t>
            </w:r>
            <w:r w:rsidRPr="345A7029" w:rsidR="7560CC4B">
              <w:rPr>
                <w:sz w:val="20"/>
                <w:szCs w:val="20"/>
              </w:rPr>
              <w:t xml:space="preserve"> </w:t>
            </w:r>
            <w:r w:rsidRPr="345A7029">
              <w:rPr>
                <w:sz w:val="20"/>
                <w:szCs w:val="20"/>
              </w:rPr>
              <w:t>safeguarding strategies/</w:t>
            </w:r>
            <w:r w:rsidRPr="345A7029" w:rsidR="4D25754D">
              <w:rPr>
                <w:sz w:val="20"/>
                <w:szCs w:val="20"/>
              </w:rPr>
              <w:t xml:space="preserve">CAF </w:t>
            </w:r>
            <w:r w:rsidRPr="345A7029">
              <w:rPr>
                <w:sz w:val="20"/>
                <w:szCs w:val="20"/>
              </w:rPr>
              <w:t>interventions</w:t>
            </w:r>
          </w:p>
        </w:tc>
        <w:tc>
          <w:tcPr>
            <w:tcW w:w="425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D90F5B9" w:rsidP="345A7029" w:rsidRDefault="5DD73B43" w14:paraId="0A085F85" w14:textId="0B722661">
            <w:pPr>
              <w:pStyle w:val="TableRowCentered"/>
              <w:jc w:val="left"/>
              <w:rPr>
                <w:b/>
                <w:bCs/>
                <w:color w:val="0D0D0D" w:themeColor="text1" w:themeTint="F2"/>
                <w:sz w:val="20"/>
              </w:rPr>
            </w:pPr>
            <w:r w:rsidRPr="345A7029">
              <w:rPr>
                <w:b/>
                <w:bCs/>
                <w:sz w:val="20"/>
              </w:rPr>
              <w:t>EEF</w:t>
            </w:r>
            <w:r w:rsidRPr="345A7029" w:rsidR="708019A8">
              <w:rPr>
                <w:b/>
                <w:bCs/>
                <w:sz w:val="20"/>
              </w:rPr>
              <w:t xml:space="preserve"> EY</w:t>
            </w:r>
            <w:r w:rsidRPr="345A7029">
              <w:rPr>
                <w:b/>
                <w:bCs/>
                <w:sz w:val="20"/>
              </w:rPr>
              <w:t xml:space="preserve"> Toolkit</w:t>
            </w:r>
          </w:p>
          <w:p w:rsidR="00A7142E" w:rsidP="345A7029" w:rsidRDefault="661BC157" w14:paraId="479AC661" w14:textId="3448C33A">
            <w:pPr>
              <w:pStyle w:val="TableRowCentered"/>
              <w:spacing w:line="259" w:lineRule="auto"/>
              <w:jc w:val="left"/>
              <w:rPr>
                <w:color w:val="0D0D0D" w:themeColor="text1" w:themeTint="F2"/>
                <w:szCs w:val="24"/>
              </w:rPr>
            </w:pPr>
            <w:r w:rsidRPr="345A7029">
              <w:rPr>
                <w:b/>
                <w:bCs/>
                <w:sz w:val="20"/>
              </w:rPr>
              <w:t>Parental</w:t>
            </w:r>
            <w:r w:rsidRPr="345A7029">
              <w:rPr>
                <w:b/>
                <w:bCs/>
                <w:sz w:val="22"/>
                <w:szCs w:val="22"/>
              </w:rPr>
              <w:t xml:space="preserve"> </w:t>
            </w:r>
            <w:r w:rsidRPr="345A7029">
              <w:rPr>
                <w:b/>
                <w:bCs/>
                <w:sz w:val="20"/>
              </w:rPr>
              <w:t xml:space="preserve">Engagement:  </w:t>
            </w:r>
            <w:r w:rsidRPr="345A7029">
              <w:rPr>
                <w:rFonts w:eastAsia="Arial" w:cs="Arial"/>
                <w:color w:val="auto"/>
                <w:sz w:val="20"/>
              </w:rPr>
              <w:t>Approaches that focus on developing parents own skills, for example by providing structured training, can have a moderate positive impact on learning. In general, more intensive approaches, which target particular families or outcomes, are associated with higher learning gains.</w:t>
            </w:r>
          </w:p>
        </w:tc>
        <w:tc>
          <w:tcPr>
            <w:tcW w:w="25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10336B" w:rsidRDefault="0010336B" w14:paraId="17B94AB6" w14:textId="7E7C2633">
            <w:pPr>
              <w:pStyle w:val="TableRowCentered"/>
              <w:jc w:val="left"/>
              <w:rPr>
                <w:sz w:val="22"/>
              </w:rPr>
            </w:pPr>
            <w:r>
              <w:rPr>
                <w:sz w:val="22"/>
              </w:rPr>
              <w:t>5</w:t>
            </w:r>
          </w:p>
        </w:tc>
      </w:tr>
    </w:tbl>
    <w:p w:rsidR="13618859" w:rsidP="13618859" w:rsidRDefault="13618859" w14:paraId="2D4D720A" w14:textId="26210722">
      <w:pPr>
        <w:rPr>
          <w:b/>
          <w:bCs/>
          <w:color w:val="104F75"/>
        </w:rPr>
      </w:pPr>
    </w:p>
    <w:p w:rsidR="00E66558" w:rsidP="4343E156" w:rsidRDefault="009D71E8" w14:paraId="057A0CAE" w14:textId="47E4004B">
      <w:pPr>
        <w:rPr>
          <w:b/>
          <w:bCs/>
          <w:color w:val="104F75"/>
        </w:rPr>
      </w:pPr>
      <w:r w:rsidRPr="4343E156">
        <w:rPr>
          <w:b/>
          <w:bCs/>
          <w:color w:val="104F75"/>
        </w:rPr>
        <w:t>Total budgeted cost: £</w:t>
      </w:r>
      <w:r w:rsidRPr="4343E156" w:rsidR="2C42ECAC">
        <w:rPr>
          <w:b/>
          <w:bCs/>
          <w:color w:val="104F75"/>
        </w:rPr>
        <w:t>234, 609</w:t>
      </w:r>
    </w:p>
    <w:p w:rsidR="005961F8" w:rsidP="345A7029" w:rsidRDefault="005961F8" w14:paraId="57449739" w14:textId="77777777"/>
    <w:p w:rsidR="005961F8" w:rsidP="345A7029" w:rsidRDefault="005961F8" w14:paraId="71DDBAF7" w14:textId="77777777"/>
    <w:p w:rsidR="005961F8" w:rsidP="345A7029" w:rsidRDefault="005961F8" w14:paraId="47B28985" w14:textId="77777777"/>
    <w:p w:rsidR="005961F8" w:rsidP="345A7029" w:rsidRDefault="005961F8" w14:paraId="25A1E1D5" w14:textId="77777777"/>
    <w:p w:rsidR="005961F8" w:rsidP="345A7029" w:rsidRDefault="005961F8" w14:paraId="0D0718F1" w14:textId="77777777"/>
    <w:p w:rsidR="005961F8" w:rsidP="345A7029" w:rsidRDefault="005961F8" w14:paraId="1C66E8B5" w14:textId="77777777"/>
    <w:p w:rsidR="005961F8" w:rsidP="345A7029" w:rsidRDefault="005961F8" w14:paraId="3FC29A4E" w14:textId="77777777"/>
    <w:p w:rsidR="005961F8" w:rsidP="345A7029" w:rsidRDefault="005961F8" w14:paraId="37E5884E" w14:textId="77777777"/>
    <w:p w:rsidR="005961F8" w:rsidP="345A7029" w:rsidRDefault="005961F8" w14:paraId="69360D37" w14:textId="77777777"/>
    <w:p w:rsidR="005961F8" w:rsidP="345A7029" w:rsidRDefault="005961F8" w14:paraId="4B54026C" w14:textId="77777777"/>
    <w:p w:rsidR="005961F8" w:rsidP="345A7029" w:rsidRDefault="005961F8" w14:paraId="6EE5649A" w14:textId="77777777"/>
    <w:p w:rsidR="005961F8" w:rsidP="345A7029" w:rsidRDefault="005961F8" w14:paraId="5AADD035" w14:textId="77777777"/>
    <w:p w:rsidR="00E66558" w:rsidP="345A7029" w:rsidRDefault="009D71E8" w14:paraId="2A7D5542" w14:textId="71516573">
      <w:r w:rsidRPr="345A7029">
        <w:t>Part B: Review of outcomes in the previous academic year</w:t>
      </w:r>
    </w:p>
    <w:p w:rsidR="00E66558" w:rsidP="345A7029" w:rsidRDefault="009D71E8" w14:paraId="4F661FAF" w14:textId="7C30C29E">
      <w:pPr>
        <w:pStyle w:val="Heading2"/>
        <w:rPr>
          <w:sz w:val="24"/>
          <w:szCs w:val="24"/>
          <w:highlight w:val="yellow"/>
        </w:rPr>
      </w:pPr>
      <w:r w:rsidRPr="345A7029">
        <w:rPr>
          <w:sz w:val="24"/>
          <w:szCs w:val="24"/>
        </w:rPr>
        <w:t>Pupil premium strategy outcomes</w:t>
      </w:r>
      <w:r w:rsidRPr="345A7029" w:rsidR="28519B07">
        <w:rPr>
          <w:sz w:val="24"/>
          <w:szCs w:val="24"/>
        </w:rPr>
        <w:t xml:space="preserve"> </w:t>
      </w:r>
    </w:p>
    <w:p w:rsidR="00E66558" w:rsidP="345A7029" w:rsidRDefault="009D71E8" w14:paraId="2A7D5544" w14:textId="7C2D6D18">
      <w:pPr>
        <w:pStyle w:val="Heading2"/>
        <w:rPr>
          <w:sz w:val="24"/>
          <w:szCs w:val="24"/>
          <w:highlight w:val="yellow"/>
        </w:rPr>
      </w:pPr>
      <w:r w:rsidRPr="345A7029">
        <w:rPr>
          <w:sz w:val="20"/>
          <w:szCs w:val="20"/>
        </w:rPr>
        <w:t>This details the impact that our pupil premium activity had on pupils in the 2020 to 2021 academic year.</w:t>
      </w:r>
      <w:r>
        <w:t xml:space="preserve"> </w:t>
      </w:r>
    </w:p>
    <w:tbl>
      <w:tblPr>
        <w:tblW w:w="9493" w:type="dxa"/>
        <w:tblCellMar>
          <w:left w:w="10" w:type="dxa"/>
          <w:right w:w="10" w:type="dxa"/>
        </w:tblCellMar>
        <w:tblLook w:val="04A0" w:firstRow="1" w:lastRow="0" w:firstColumn="1" w:lastColumn="0" w:noHBand="0" w:noVBand="1"/>
      </w:tblPr>
      <w:tblGrid>
        <w:gridCol w:w="9493"/>
      </w:tblGrid>
      <w:tr w:rsidR="00E66558" w:rsidTr="1E98A165" w14:paraId="2A7D5547" w14:textId="77777777">
        <w:trPr>
          <w:trHeight w:val="1102"/>
        </w:trPr>
        <w:tc>
          <w:tcPr>
            <w:tcW w:w="949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900AE3F" w14:paraId="34D99E8D" w14:textId="6D42FB68">
            <w:pPr>
              <w:rPr>
                <w:sz w:val="20"/>
                <w:szCs w:val="20"/>
              </w:rPr>
            </w:pPr>
            <w:r w:rsidRPr="345A7029">
              <w:rPr>
                <w:sz w:val="20"/>
                <w:szCs w:val="20"/>
              </w:rPr>
              <w:t xml:space="preserve">Despite impact being made during 2020 to 2021 we have refined our approach </w:t>
            </w:r>
            <w:r w:rsidRPr="345A7029" w:rsidR="4A5BC90D">
              <w:rPr>
                <w:sz w:val="20"/>
                <w:szCs w:val="20"/>
              </w:rPr>
              <w:t xml:space="preserve">for the coming year as detailed above. </w:t>
            </w:r>
          </w:p>
          <w:p w:rsidR="00E66558" w:rsidP="1E98A165" w:rsidRDefault="0677689D" w14:paraId="271350EC" w14:textId="6CAD296E">
            <w:pPr>
              <w:rPr>
                <w:i/>
                <w:iCs/>
                <w:sz w:val="20"/>
                <w:szCs w:val="20"/>
                <w:lang w:eastAsia="en-US"/>
              </w:rPr>
            </w:pPr>
            <w:r w:rsidRPr="1E98A165">
              <w:rPr>
                <w:sz w:val="20"/>
                <w:szCs w:val="20"/>
              </w:rPr>
              <w:t>The 2 main strands of our pupil premium strategy focus</w:t>
            </w:r>
            <w:r w:rsidRPr="1E98A165" w:rsidR="76B40013">
              <w:rPr>
                <w:sz w:val="20"/>
                <w:szCs w:val="20"/>
              </w:rPr>
              <w:t>ed</w:t>
            </w:r>
            <w:r w:rsidRPr="1E98A165">
              <w:rPr>
                <w:sz w:val="20"/>
                <w:szCs w:val="20"/>
              </w:rPr>
              <w:t xml:space="preserve"> </w:t>
            </w:r>
            <w:r w:rsidRPr="1E98A165" w:rsidR="6B095674">
              <w:rPr>
                <w:sz w:val="20"/>
                <w:szCs w:val="20"/>
              </w:rPr>
              <w:t>and continue</w:t>
            </w:r>
            <w:r w:rsidRPr="1E98A165" w:rsidR="0400EA14">
              <w:rPr>
                <w:sz w:val="20"/>
                <w:szCs w:val="20"/>
              </w:rPr>
              <w:t>s</w:t>
            </w:r>
            <w:r w:rsidRPr="1E98A165" w:rsidR="6B095674">
              <w:rPr>
                <w:sz w:val="20"/>
                <w:szCs w:val="20"/>
              </w:rPr>
              <w:t xml:space="preserve"> to focus </w:t>
            </w:r>
            <w:r w:rsidRPr="1E98A165">
              <w:rPr>
                <w:sz w:val="20"/>
                <w:szCs w:val="20"/>
              </w:rPr>
              <w:t>on QFT and Pastoral care. The plan</w:t>
            </w:r>
            <w:r w:rsidRPr="1E98A165" w:rsidR="77AF8C18">
              <w:rPr>
                <w:sz w:val="20"/>
                <w:szCs w:val="20"/>
              </w:rPr>
              <w:t>n</w:t>
            </w:r>
            <w:r w:rsidRPr="1E98A165">
              <w:rPr>
                <w:sz w:val="20"/>
                <w:szCs w:val="20"/>
              </w:rPr>
              <w:t>ed work</w:t>
            </w:r>
            <w:r w:rsidRPr="1E98A165" w:rsidR="0BB6E3DC">
              <w:rPr>
                <w:sz w:val="20"/>
                <w:szCs w:val="20"/>
              </w:rPr>
              <w:t xml:space="preserve"> for 2020/21</w:t>
            </w:r>
            <w:r w:rsidRPr="1E98A165">
              <w:rPr>
                <w:sz w:val="20"/>
                <w:szCs w:val="20"/>
              </w:rPr>
              <w:t xml:space="preserve"> was redirected during the pandemic to meet the needs of the children and their families. </w:t>
            </w:r>
            <w:r w:rsidRPr="1E98A165" w:rsidR="73844F96">
              <w:rPr>
                <w:i/>
                <w:iCs/>
                <w:sz w:val="20"/>
                <w:szCs w:val="20"/>
                <w:lang w:eastAsia="en-US"/>
              </w:rPr>
              <w:t xml:space="preserve"> </w:t>
            </w:r>
          </w:p>
          <w:p w:rsidR="76C9BCB5" w:rsidP="345A7029" w:rsidRDefault="76C9BCB5" w14:paraId="61D83F70" w14:textId="5E2D9FDD">
            <w:pPr>
              <w:pStyle w:val="TableRow"/>
              <w:ind w:left="0"/>
              <w:rPr>
                <w:sz w:val="20"/>
                <w:szCs w:val="20"/>
              </w:rPr>
            </w:pPr>
            <w:r w:rsidRPr="345A7029">
              <w:rPr>
                <w:sz w:val="20"/>
                <w:szCs w:val="20"/>
              </w:rPr>
              <w:t>Recruitment and retention of additional support staff to provide increased high-quality feedback and curriculum engagement</w:t>
            </w:r>
            <w:r w:rsidRPr="345A7029" w:rsidR="5B6618D9">
              <w:rPr>
                <w:sz w:val="20"/>
                <w:szCs w:val="20"/>
              </w:rPr>
              <w:t xml:space="preserve"> to support QFT and engagement beyond the classroom when the school was</w:t>
            </w:r>
            <w:r w:rsidRPr="345A7029" w:rsidR="0F6744A3">
              <w:rPr>
                <w:sz w:val="20"/>
                <w:szCs w:val="20"/>
              </w:rPr>
              <w:t xml:space="preserve"> in lockdown as well as before and after this. </w:t>
            </w:r>
            <w:r w:rsidRPr="345A7029" w:rsidR="6CA87C35">
              <w:rPr>
                <w:sz w:val="20"/>
                <w:szCs w:val="20"/>
              </w:rPr>
              <w:t xml:space="preserve">As a result of QFT the attainment of children eligible for the pupil premium grant </w:t>
            </w:r>
            <w:r w:rsidRPr="345A7029" w:rsidR="595AF950">
              <w:rPr>
                <w:sz w:val="20"/>
                <w:szCs w:val="20"/>
              </w:rPr>
              <w:t>increased, on average, by 31% over this period.</w:t>
            </w:r>
            <w:r w:rsidRPr="345A7029" w:rsidR="12E2AF72">
              <w:rPr>
                <w:sz w:val="20"/>
                <w:szCs w:val="20"/>
              </w:rPr>
              <w:t xml:space="preserve"> During lockdown an average of 72% of children engaged in learning at home whilst we had 67% of vulnerable children attending in school provision.</w:t>
            </w:r>
          </w:p>
          <w:p w:rsidR="006A7B49" w:rsidP="345A7029" w:rsidRDefault="3E318548" w14:paraId="6069FD09" w14:textId="407B8BDC">
            <w:pPr>
              <w:rPr>
                <w:sz w:val="20"/>
                <w:szCs w:val="20"/>
                <w:lang w:eastAsia="en-US"/>
              </w:rPr>
            </w:pPr>
            <w:r w:rsidRPr="345A7029">
              <w:rPr>
                <w:sz w:val="20"/>
                <w:szCs w:val="20"/>
                <w:lang w:eastAsia="en-US"/>
              </w:rPr>
              <w:t xml:space="preserve">The pastoral care team and teaching team safeguarded the physical, mental health and wellbeing via a range </w:t>
            </w:r>
            <w:r w:rsidRPr="345A7029" w:rsidR="51574EC3">
              <w:rPr>
                <w:sz w:val="20"/>
                <w:szCs w:val="20"/>
                <w:lang w:eastAsia="en-US"/>
              </w:rPr>
              <w:t>o</w:t>
            </w:r>
            <w:r w:rsidRPr="345A7029">
              <w:rPr>
                <w:sz w:val="20"/>
                <w:szCs w:val="20"/>
                <w:lang w:eastAsia="en-US"/>
              </w:rPr>
              <w:t xml:space="preserve">f </w:t>
            </w:r>
            <w:r w:rsidRPr="345A7029" w:rsidR="09517F8A">
              <w:rPr>
                <w:sz w:val="20"/>
                <w:szCs w:val="20"/>
                <w:lang w:eastAsia="en-US"/>
              </w:rPr>
              <w:t>activit</w:t>
            </w:r>
            <w:r w:rsidRPr="345A7029" w:rsidR="5E6B2D28">
              <w:rPr>
                <w:sz w:val="20"/>
                <w:szCs w:val="20"/>
                <w:lang w:eastAsia="en-US"/>
              </w:rPr>
              <w:t>ies</w:t>
            </w:r>
            <w:r w:rsidRPr="345A7029">
              <w:rPr>
                <w:sz w:val="20"/>
                <w:szCs w:val="20"/>
                <w:lang w:eastAsia="en-US"/>
              </w:rPr>
              <w:t>:</w:t>
            </w:r>
          </w:p>
          <w:p w:rsidR="006A7B49" w:rsidP="00B01295" w:rsidRDefault="3E318548" w14:paraId="35A58FB9" w14:textId="6900D8F4">
            <w:pPr>
              <w:pStyle w:val="ListParagraph"/>
              <w:numPr>
                <w:ilvl w:val="0"/>
                <w:numId w:val="20"/>
              </w:numPr>
              <w:rPr>
                <w:sz w:val="20"/>
                <w:szCs w:val="20"/>
                <w:lang w:eastAsia="en-US"/>
              </w:rPr>
            </w:pPr>
            <w:r w:rsidRPr="345A7029">
              <w:rPr>
                <w:sz w:val="20"/>
                <w:szCs w:val="20"/>
                <w:lang w:eastAsia="en-US"/>
              </w:rPr>
              <w:t>Daily phone calls</w:t>
            </w:r>
            <w:r w:rsidRPr="345A7029" w:rsidR="4C518145">
              <w:rPr>
                <w:sz w:val="20"/>
                <w:szCs w:val="20"/>
                <w:lang w:eastAsia="en-US"/>
              </w:rPr>
              <w:t>/Check ins/Email support for all children</w:t>
            </w:r>
          </w:p>
          <w:p w:rsidR="006A7B49" w:rsidP="00B01295" w:rsidRDefault="3E318548" w14:paraId="60E01E00" w14:textId="72187233">
            <w:pPr>
              <w:pStyle w:val="ListParagraph"/>
              <w:numPr>
                <w:ilvl w:val="0"/>
                <w:numId w:val="20"/>
              </w:numPr>
              <w:rPr>
                <w:sz w:val="20"/>
                <w:szCs w:val="20"/>
                <w:lang w:eastAsia="en-US"/>
              </w:rPr>
            </w:pPr>
            <w:r w:rsidRPr="345A7029">
              <w:rPr>
                <w:sz w:val="20"/>
                <w:szCs w:val="20"/>
                <w:lang w:eastAsia="en-US"/>
              </w:rPr>
              <w:t>Multiple points of contact daily for the most vulnerable families</w:t>
            </w:r>
          </w:p>
          <w:p w:rsidR="006A7B49" w:rsidP="00B01295" w:rsidRDefault="3E318548" w14:paraId="2EE203CB" w14:textId="5CF6AC0D">
            <w:pPr>
              <w:pStyle w:val="ListParagraph"/>
              <w:numPr>
                <w:ilvl w:val="0"/>
                <w:numId w:val="20"/>
              </w:numPr>
              <w:rPr>
                <w:sz w:val="20"/>
                <w:szCs w:val="20"/>
                <w:lang w:eastAsia="en-US"/>
              </w:rPr>
            </w:pPr>
            <w:r w:rsidRPr="345A7029">
              <w:rPr>
                <w:sz w:val="20"/>
                <w:szCs w:val="20"/>
                <w:lang w:eastAsia="en-US"/>
              </w:rPr>
              <w:t>Food parcels</w:t>
            </w:r>
          </w:p>
          <w:p w:rsidR="006A7B49" w:rsidP="00B01295" w:rsidRDefault="3E318548" w14:paraId="7E336807" w14:textId="7B6A76A5">
            <w:pPr>
              <w:pStyle w:val="ListParagraph"/>
              <w:numPr>
                <w:ilvl w:val="0"/>
                <w:numId w:val="20"/>
              </w:numPr>
              <w:rPr>
                <w:sz w:val="20"/>
                <w:szCs w:val="20"/>
                <w:lang w:eastAsia="en-US"/>
              </w:rPr>
            </w:pPr>
            <w:r w:rsidRPr="345A7029">
              <w:rPr>
                <w:sz w:val="20"/>
                <w:szCs w:val="20"/>
                <w:lang w:eastAsia="en-US"/>
              </w:rPr>
              <w:t>Hygiene parcels</w:t>
            </w:r>
          </w:p>
          <w:p w:rsidR="006A7B49" w:rsidP="00B01295" w:rsidRDefault="3E318548" w14:paraId="0DDBC4E7" w14:textId="77777777">
            <w:pPr>
              <w:pStyle w:val="ListParagraph"/>
              <w:numPr>
                <w:ilvl w:val="0"/>
                <w:numId w:val="20"/>
              </w:numPr>
              <w:rPr>
                <w:sz w:val="20"/>
                <w:szCs w:val="20"/>
                <w:lang w:eastAsia="en-US"/>
              </w:rPr>
            </w:pPr>
            <w:r w:rsidRPr="345A7029">
              <w:rPr>
                <w:sz w:val="20"/>
                <w:szCs w:val="20"/>
                <w:lang w:eastAsia="en-US"/>
              </w:rPr>
              <w:t>Wellbeing programme developed to support children who were unable to access academic resources</w:t>
            </w:r>
          </w:p>
          <w:p w:rsidR="006A7B49" w:rsidP="00B01295" w:rsidRDefault="3E318548" w14:paraId="6308415C" w14:textId="77777777">
            <w:pPr>
              <w:pStyle w:val="ListParagraph"/>
              <w:numPr>
                <w:ilvl w:val="0"/>
                <w:numId w:val="20"/>
              </w:numPr>
              <w:rPr>
                <w:sz w:val="20"/>
                <w:szCs w:val="20"/>
                <w:lang w:eastAsia="en-US"/>
              </w:rPr>
            </w:pPr>
            <w:r w:rsidRPr="345A7029">
              <w:rPr>
                <w:sz w:val="20"/>
                <w:szCs w:val="20"/>
                <w:lang w:eastAsia="en-US"/>
              </w:rPr>
              <w:t>SEND bespoke support</w:t>
            </w:r>
          </w:p>
          <w:p w:rsidR="006A7B49" w:rsidP="00B01295" w:rsidRDefault="3E318548" w14:paraId="161CCA47" w14:textId="1DECB5EA">
            <w:pPr>
              <w:pStyle w:val="ListParagraph"/>
              <w:numPr>
                <w:ilvl w:val="0"/>
                <w:numId w:val="20"/>
              </w:numPr>
              <w:rPr>
                <w:sz w:val="20"/>
                <w:szCs w:val="20"/>
                <w:lang w:eastAsia="en-US"/>
              </w:rPr>
            </w:pPr>
            <w:r w:rsidRPr="345A7029">
              <w:rPr>
                <w:sz w:val="20"/>
                <w:szCs w:val="20"/>
                <w:lang w:eastAsia="en-US"/>
              </w:rPr>
              <w:t xml:space="preserve">Support to actively get vulnerable pupils to attend lockdown classes. </w:t>
            </w:r>
          </w:p>
          <w:p w:rsidR="00252987" w:rsidP="345A7029" w:rsidRDefault="00252987" w14:paraId="5BF85B89" w14:textId="6209970E">
            <w:pPr>
              <w:pStyle w:val="TableRow"/>
              <w:ind w:left="0"/>
              <w:rPr>
                <w:sz w:val="20"/>
                <w:szCs w:val="20"/>
                <w:lang w:eastAsia="en-US"/>
              </w:rPr>
            </w:pPr>
          </w:p>
          <w:p w:rsidR="00252987" w:rsidP="345A7029" w:rsidRDefault="6086C4E6" w14:paraId="5FC65369" w14:textId="07304414">
            <w:pPr>
              <w:pStyle w:val="TableRow"/>
              <w:ind w:left="0"/>
              <w:rPr>
                <w:color w:val="0D0D0D" w:themeColor="text1" w:themeTint="F2"/>
                <w:lang w:eastAsia="en-US"/>
              </w:rPr>
            </w:pPr>
            <w:r w:rsidRPr="345A7029">
              <w:rPr>
                <w:sz w:val="20"/>
                <w:szCs w:val="20"/>
                <w:lang w:eastAsia="en-US"/>
              </w:rPr>
              <w:t xml:space="preserve">The QFT via remote learning and when back in class remained high. </w:t>
            </w:r>
            <w:r w:rsidRPr="345A7029" w:rsidR="09517F8A">
              <w:rPr>
                <w:sz w:val="20"/>
                <w:szCs w:val="20"/>
                <w:lang w:eastAsia="en-US"/>
              </w:rPr>
              <w:t>CPD on blended learning ensured that staff could deliver daily online learning that was of a high quality</w:t>
            </w:r>
            <w:r w:rsidRPr="345A7029" w:rsidR="788E2736">
              <w:rPr>
                <w:sz w:val="20"/>
                <w:szCs w:val="20"/>
                <w:lang w:eastAsia="en-US"/>
              </w:rPr>
              <w:t>, this was seen during ‘drop ins’ from senior leaders and is evidenced by the parental survey we completed during this time which showed that 98% of parents whose children were learning at home were very</w:t>
            </w:r>
            <w:r w:rsidRPr="345A7029" w:rsidR="48F60380">
              <w:rPr>
                <w:sz w:val="20"/>
                <w:szCs w:val="20"/>
                <w:lang w:eastAsia="en-US"/>
              </w:rPr>
              <w:t xml:space="preserve"> satisfied with the provision and support received, 100% of parents whose children were attending in school provision were very satisfied with the provision and support received. The CPD provided included:</w:t>
            </w:r>
          </w:p>
          <w:p w:rsidR="00252987" w:rsidP="345A7029" w:rsidRDefault="09517F8A" w14:paraId="2581117F" w14:textId="0FE2F9E2">
            <w:pPr>
              <w:pStyle w:val="ListParagraph"/>
              <w:rPr>
                <w:sz w:val="20"/>
                <w:szCs w:val="20"/>
                <w:lang w:eastAsia="en-US"/>
              </w:rPr>
            </w:pPr>
            <w:r w:rsidRPr="345A7029">
              <w:rPr>
                <w:sz w:val="20"/>
                <w:szCs w:val="20"/>
                <w:lang w:eastAsia="en-US"/>
              </w:rPr>
              <w:t xml:space="preserve">Phonics training </w:t>
            </w:r>
          </w:p>
          <w:p w:rsidR="00252987" w:rsidP="345A7029" w:rsidRDefault="09517F8A" w14:paraId="03A4A1DC" w14:textId="4862B26E">
            <w:pPr>
              <w:pStyle w:val="ListParagraph"/>
              <w:rPr>
                <w:sz w:val="20"/>
                <w:szCs w:val="20"/>
                <w:lang w:eastAsia="en-US"/>
              </w:rPr>
            </w:pPr>
            <w:r w:rsidRPr="345A7029">
              <w:rPr>
                <w:sz w:val="20"/>
                <w:szCs w:val="20"/>
                <w:lang w:eastAsia="en-US"/>
              </w:rPr>
              <w:t xml:space="preserve">Google classrooms training </w:t>
            </w:r>
          </w:p>
          <w:p w:rsidR="00252987" w:rsidP="345A7029" w:rsidRDefault="09517F8A" w14:paraId="7F6B1D4D" w14:textId="28CF8E59">
            <w:pPr>
              <w:pStyle w:val="ListParagraph"/>
              <w:rPr>
                <w:sz w:val="20"/>
                <w:szCs w:val="20"/>
                <w:lang w:eastAsia="en-US"/>
              </w:rPr>
            </w:pPr>
            <w:r w:rsidRPr="345A7029">
              <w:rPr>
                <w:sz w:val="20"/>
                <w:szCs w:val="20"/>
                <w:lang w:eastAsia="en-US"/>
              </w:rPr>
              <w:t>Reorganising curriculum sequencing support</w:t>
            </w:r>
          </w:p>
          <w:p w:rsidR="00252987" w:rsidP="345A7029" w:rsidRDefault="09517F8A" w14:paraId="50508D88" w14:textId="2EED3E84">
            <w:pPr>
              <w:pStyle w:val="ListParagraph"/>
              <w:rPr>
                <w:sz w:val="20"/>
                <w:szCs w:val="20"/>
                <w:lang w:eastAsia="en-US"/>
              </w:rPr>
            </w:pPr>
            <w:r w:rsidRPr="345A7029">
              <w:rPr>
                <w:sz w:val="20"/>
                <w:szCs w:val="20"/>
                <w:lang w:eastAsia="en-US"/>
              </w:rPr>
              <w:t>1:1 tailored support for staff</w:t>
            </w:r>
          </w:p>
          <w:p w:rsidR="00252987" w:rsidP="345A7029" w:rsidRDefault="09517F8A" w14:paraId="5E84162F" w14:textId="6E716D1E">
            <w:pPr>
              <w:pStyle w:val="ListParagraph"/>
              <w:rPr>
                <w:sz w:val="20"/>
                <w:szCs w:val="20"/>
                <w:lang w:eastAsia="en-US"/>
              </w:rPr>
            </w:pPr>
            <w:r w:rsidRPr="345A7029">
              <w:rPr>
                <w:sz w:val="20"/>
                <w:szCs w:val="20"/>
                <w:lang w:eastAsia="en-US"/>
              </w:rPr>
              <w:t>1:1 bespoke training for families to use loaned laptops</w:t>
            </w:r>
          </w:p>
          <w:p w:rsidRPr="006A7B49" w:rsidR="006A7B49" w:rsidP="2CEB3F48" w:rsidRDefault="79D5C3BE" w14:paraId="2A7D5546" w14:textId="17171F53">
            <w:pPr>
              <w:rPr>
                <w:lang w:eastAsia="en-US"/>
              </w:rPr>
            </w:pPr>
            <w:r w:rsidRPr="345A7029">
              <w:rPr>
                <w:sz w:val="20"/>
                <w:szCs w:val="20"/>
                <w:lang w:eastAsia="en-US"/>
              </w:rPr>
              <w:t>During the return to school in March 21</w:t>
            </w:r>
            <w:r w:rsidRPr="345A7029" w:rsidR="048682D3">
              <w:rPr>
                <w:sz w:val="20"/>
                <w:szCs w:val="20"/>
                <w:lang w:eastAsia="en-US"/>
              </w:rPr>
              <w:t xml:space="preserve"> </w:t>
            </w:r>
            <w:r w:rsidRPr="345A7029">
              <w:rPr>
                <w:sz w:val="20"/>
                <w:szCs w:val="20"/>
                <w:lang w:eastAsia="en-US"/>
              </w:rPr>
              <w:t>it was evident that the work of the school staff to support children’s emotional wellbeing, as well as the blended learning opportunities,</w:t>
            </w:r>
            <w:r w:rsidRPr="345A7029" w:rsidR="0F1A68BD">
              <w:rPr>
                <w:sz w:val="20"/>
                <w:szCs w:val="20"/>
                <w:lang w:eastAsia="en-US"/>
              </w:rPr>
              <w:t xml:space="preserve"> during Lockdown,</w:t>
            </w:r>
            <w:r w:rsidRPr="345A7029">
              <w:rPr>
                <w:sz w:val="20"/>
                <w:szCs w:val="20"/>
                <w:lang w:eastAsia="en-US"/>
              </w:rPr>
              <w:t xml:space="preserve"> meant that children were ready to learn and quickly reengaged with their learning with both good conduct and learning behaviours across the school</w:t>
            </w:r>
            <w:r w:rsidRPr="345A7029" w:rsidR="2EDCA50A">
              <w:rPr>
                <w:sz w:val="20"/>
                <w:szCs w:val="20"/>
                <w:lang w:eastAsia="en-US"/>
              </w:rPr>
              <w:t>.</w:t>
            </w:r>
          </w:p>
        </w:tc>
      </w:tr>
    </w:tbl>
    <w:p w:rsidR="00E66558" w:rsidP="345A7029" w:rsidRDefault="009D71E8" w14:paraId="2A7D5548" w14:textId="77777777">
      <w:pPr>
        <w:pStyle w:val="Heading2"/>
        <w:spacing w:before="600"/>
        <w:rPr>
          <w:sz w:val="24"/>
          <w:szCs w:val="24"/>
        </w:rPr>
      </w:pPr>
      <w:r w:rsidRPr="345A7029">
        <w:rPr>
          <w:sz w:val="24"/>
          <w:szCs w:val="24"/>
        </w:rPr>
        <w:t>Externally provided programmes</w:t>
      </w:r>
    </w:p>
    <w:p w:rsidR="00E66558" w:rsidP="345A7029" w:rsidRDefault="009D71E8" w14:paraId="2A7D5549" w14:textId="77777777">
      <w:pPr>
        <w:rPr>
          <w:i/>
          <w:iCs/>
          <w:sz w:val="20"/>
          <w:szCs w:val="20"/>
        </w:rPr>
      </w:pPr>
      <w:r w:rsidRPr="345A7029">
        <w:rPr>
          <w:i/>
          <w:iCs/>
          <w:sz w:val="20"/>
          <w:szCs w:val="20"/>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5161"/>
        <w:gridCol w:w="5007"/>
      </w:tblGrid>
      <w:tr w:rsidR="00E66558" w:rsidTr="345A7029" w14:paraId="2A7D554C"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A" w14:textId="77777777">
            <w:pPr>
              <w:pStyle w:val="TableHeader"/>
              <w:jc w:val="left"/>
            </w:pPr>
            <w:r>
              <w:t>Programme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4B" w14:textId="77777777">
            <w:pPr>
              <w:pStyle w:val="TableHeader"/>
              <w:jc w:val="left"/>
            </w:pPr>
            <w:r>
              <w:t>Provider</w:t>
            </w:r>
          </w:p>
        </w:tc>
      </w:tr>
      <w:tr w:rsidR="00E66558" w:rsidTr="345A7029" w14:paraId="2A7D554F"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77023F51" w14:paraId="2A7D554D" w14:textId="45894A86">
            <w:pPr>
              <w:pStyle w:val="TableRow"/>
            </w:pPr>
            <w:r w:rsidRPr="345A7029">
              <w:rPr>
                <w:sz w:val="20"/>
                <w:szCs w:val="20"/>
              </w:rPr>
              <w:t>N</w:t>
            </w:r>
            <w:r w:rsidRPr="345A7029" w:rsidR="6D74B5C9">
              <w:rPr>
                <w:sz w:val="20"/>
                <w:szCs w:val="20"/>
              </w:rPr>
              <w:t>/</w:t>
            </w:r>
            <w:r w:rsidRPr="345A7029">
              <w:rPr>
                <w:sz w:val="20"/>
                <w:szCs w:val="20"/>
              </w:rPr>
              <w:t>A</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105C2A8E" w14:paraId="2A7D554E" w14:textId="63844C3E">
            <w:pPr>
              <w:pStyle w:val="TableRowCentered"/>
              <w:jc w:val="left"/>
              <w:rPr>
                <w:sz w:val="20"/>
              </w:rPr>
            </w:pPr>
            <w:r w:rsidRPr="345A7029">
              <w:rPr>
                <w:sz w:val="20"/>
              </w:rPr>
              <w:t>N</w:t>
            </w:r>
            <w:r w:rsidRPr="345A7029" w:rsidR="1ACD69AA">
              <w:rPr>
                <w:sz w:val="20"/>
              </w:rPr>
              <w:t>/</w:t>
            </w:r>
            <w:r w:rsidRPr="345A7029">
              <w:rPr>
                <w:sz w:val="20"/>
              </w:rPr>
              <w:t>A</w:t>
            </w:r>
          </w:p>
        </w:tc>
      </w:tr>
      <w:tr w:rsidR="00E66558" w:rsidTr="345A7029" w14:paraId="2A7D5552"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0" w14:textId="77777777">
            <w:pPr>
              <w:pStyle w:val="TableRow"/>
            </w:pP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00E66558" w14:paraId="2A7D5551" w14:textId="77777777">
            <w:pPr>
              <w:pStyle w:val="TableRowCentered"/>
              <w:jc w:val="left"/>
            </w:pPr>
          </w:p>
        </w:tc>
      </w:tr>
    </w:tbl>
    <w:p w:rsidR="00E66558" w:rsidP="345A7029" w:rsidRDefault="009D71E8" w14:paraId="2A7D5553" w14:textId="77777777">
      <w:pPr>
        <w:pStyle w:val="Heading2"/>
        <w:spacing w:before="600"/>
        <w:rPr>
          <w:sz w:val="24"/>
          <w:szCs w:val="24"/>
        </w:rPr>
      </w:pPr>
      <w:r w:rsidRPr="345A7029">
        <w:rPr>
          <w:sz w:val="24"/>
          <w:szCs w:val="24"/>
        </w:rPr>
        <w:t>Service pupil premium funding (optional)</w:t>
      </w:r>
    </w:p>
    <w:p w:rsidR="00E66558" w:rsidP="345A7029" w:rsidRDefault="009D71E8" w14:paraId="2A7D5554" w14:textId="77777777">
      <w:pPr>
        <w:rPr>
          <w:i/>
          <w:iCs/>
          <w:sz w:val="20"/>
          <w:szCs w:val="20"/>
        </w:rPr>
      </w:pPr>
      <w:r w:rsidRPr="345A7029">
        <w:rPr>
          <w:i/>
          <w:iCs/>
          <w:sz w:val="20"/>
          <w:szCs w:val="20"/>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161"/>
        <w:gridCol w:w="5007"/>
      </w:tblGrid>
      <w:tr w:rsidR="00E66558" w:rsidTr="345A7029" w14:paraId="2A7D5557"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5" w14:textId="77777777">
            <w:pPr>
              <w:pStyle w:val="TableHeader"/>
              <w:jc w:val="left"/>
            </w:pPr>
            <w:bookmarkStart w:name="_Hlk80604898" w:id="17"/>
            <w:r>
              <w:rPr>
                <w:bCs/>
              </w:rPr>
              <w:t>Measure</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2E9"/>
            <w:tcMar>
              <w:top w:w="0" w:type="dxa"/>
              <w:left w:w="108" w:type="dxa"/>
              <w:bottom w:w="0" w:type="dxa"/>
              <w:right w:w="108" w:type="dxa"/>
            </w:tcMar>
          </w:tcPr>
          <w:p w:rsidR="00E66558" w:rsidRDefault="009D71E8" w14:paraId="2A7D5556" w14:textId="77777777">
            <w:pPr>
              <w:pStyle w:val="TableHeader"/>
              <w:jc w:val="left"/>
            </w:pPr>
            <w:r>
              <w:rPr>
                <w:bCs/>
              </w:rPr>
              <w:t xml:space="preserve">Details </w:t>
            </w:r>
          </w:p>
        </w:tc>
      </w:tr>
      <w:tr w:rsidR="00E66558" w:rsidTr="345A7029" w14:paraId="2A7D555A"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9D71E8" w14:paraId="2A7D5558" w14:textId="77777777">
            <w:pPr>
              <w:pStyle w:val="TableRow"/>
              <w:rPr>
                <w:color w:val="000000" w:themeColor="text1"/>
                <w:sz w:val="20"/>
                <w:szCs w:val="20"/>
              </w:rPr>
            </w:pPr>
            <w:r w:rsidRPr="345A7029">
              <w:rPr>
                <w:color w:val="000000" w:themeColor="text1"/>
                <w:sz w:val="20"/>
                <w:szCs w:val="20"/>
              </w:rPr>
              <w:t>How did you spend your service pupil premium allocation last academic year?</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RDefault="4C44EB1D" w14:paraId="2A7D5559" w14:textId="2D55365F">
            <w:pPr>
              <w:pStyle w:val="TableRowCentered"/>
              <w:jc w:val="left"/>
            </w:pPr>
            <w:r w:rsidRPr="345A7029">
              <w:rPr>
                <w:sz w:val="20"/>
              </w:rPr>
              <w:t>N</w:t>
            </w:r>
            <w:r w:rsidRPr="345A7029" w:rsidR="421A33EB">
              <w:rPr>
                <w:sz w:val="20"/>
              </w:rPr>
              <w:t>/</w:t>
            </w:r>
            <w:r w:rsidRPr="345A7029">
              <w:rPr>
                <w:sz w:val="20"/>
              </w:rPr>
              <w:t>A</w:t>
            </w:r>
          </w:p>
        </w:tc>
      </w:tr>
      <w:tr w:rsidR="00E66558" w:rsidTr="345A7029" w14:paraId="2A7D555D" w14:textId="77777777">
        <w:tc>
          <w:tcPr>
            <w:tcW w:w="48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009D71E8" w14:paraId="2A7D555B" w14:textId="77777777">
            <w:pPr>
              <w:pStyle w:val="TableRow"/>
              <w:rPr>
                <w:color w:val="000000" w:themeColor="text1"/>
                <w:sz w:val="20"/>
                <w:szCs w:val="20"/>
              </w:rPr>
            </w:pPr>
            <w:r w:rsidRPr="345A7029">
              <w:rPr>
                <w:color w:val="000000" w:themeColor="text1"/>
                <w:sz w:val="20"/>
                <w:szCs w:val="20"/>
              </w:rPr>
              <w:t>What was the impact of that spending on service pupil premium eligible pupils?</w:t>
            </w:r>
          </w:p>
        </w:tc>
        <w:tc>
          <w:tcPr>
            <w:tcW w:w="467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0E66558" w:rsidP="345A7029" w:rsidRDefault="7B446E25" w14:paraId="2A7D555C" w14:textId="177DA923">
            <w:pPr>
              <w:pStyle w:val="TableRowCentered"/>
              <w:jc w:val="left"/>
              <w:rPr>
                <w:sz w:val="20"/>
              </w:rPr>
            </w:pPr>
            <w:r w:rsidRPr="345A7029">
              <w:rPr>
                <w:sz w:val="20"/>
              </w:rPr>
              <w:t>N</w:t>
            </w:r>
            <w:r w:rsidRPr="345A7029" w:rsidR="372A6092">
              <w:rPr>
                <w:sz w:val="20"/>
              </w:rPr>
              <w:t>/</w:t>
            </w:r>
            <w:r w:rsidRPr="345A7029">
              <w:rPr>
                <w:sz w:val="20"/>
              </w:rPr>
              <w:t>A</w:t>
            </w:r>
          </w:p>
        </w:tc>
      </w:tr>
      <w:bookmarkEnd w:id="17"/>
    </w:tbl>
    <w:p w:rsidR="00E66558" w:rsidRDefault="00E66558" w14:paraId="2A7D555E" w14:textId="77777777"/>
    <w:p w:rsidR="00E66558" w:rsidRDefault="00E66558" w14:paraId="2A7D555F" w14:textId="77777777">
      <w:pPr>
        <w:spacing w:after="0" w:line="240" w:lineRule="auto"/>
      </w:pPr>
    </w:p>
    <w:bookmarkEnd w:id="14"/>
    <w:bookmarkEnd w:id="15"/>
    <w:bookmarkEnd w:id="16"/>
    <w:p w:rsidR="00E66558" w:rsidRDefault="00E66558" w14:paraId="2A7D5564" w14:textId="77777777"/>
    <w:sectPr w:rsidR="00E66558">
      <w:headerReference w:type="default" r:id="rId10"/>
      <w:footerReference w:type="default" r:id="rId11"/>
      <w:pgSz w:w="11906" w:h="16838" w:orient="portrait"/>
      <w:pgMar w:top="864" w:right="864" w:bottom="864" w:left="86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A61" w:rsidRDefault="00F75A61" w14:paraId="5019FD5C" w14:textId="77777777">
      <w:pPr>
        <w:spacing w:after="0" w:line="240" w:lineRule="auto"/>
      </w:pPr>
      <w:r>
        <w:separator/>
      </w:r>
    </w:p>
  </w:endnote>
  <w:endnote w:type="continuationSeparator" w:id="0">
    <w:p w:rsidR="00F75A61" w:rsidRDefault="00F75A61" w14:paraId="41881C98" w14:textId="77777777">
      <w:pPr>
        <w:spacing w:after="0" w:line="240" w:lineRule="auto"/>
      </w:pPr>
      <w:r>
        <w:continuationSeparator/>
      </w:r>
    </w:p>
  </w:endnote>
  <w:endnote w:type="continuationNotice" w:id="1">
    <w:p w:rsidR="00F75A61" w:rsidRDefault="00F75A61" w14:paraId="16ACBBE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A61" w:rsidP="4343E156" w:rsidRDefault="009D71E8" w14:paraId="2A7D54BE" w14:textId="204C5A4D">
    <w:pPr>
      <w:pStyle w:val="TableRow"/>
      <w:rPr>
        <w:sz w:val="20"/>
        <w:szCs w:val="20"/>
      </w:rPr>
    </w:pPr>
    <w:r>
      <w:fldChar w:fldCharType="begin"/>
    </w:r>
    <w:r>
      <w:instrText xml:space="preserve"> PAGE </w:instrText>
    </w:r>
    <w:r>
      <w:fldChar w:fldCharType="separate"/>
    </w:r>
    <w:r w:rsidR="4343E156">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A61" w:rsidRDefault="00F75A61" w14:paraId="09488E93" w14:textId="77777777">
      <w:pPr>
        <w:spacing w:after="0" w:line="240" w:lineRule="auto"/>
      </w:pPr>
      <w:r>
        <w:separator/>
      </w:r>
    </w:p>
  </w:footnote>
  <w:footnote w:type="continuationSeparator" w:id="0">
    <w:p w:rsidR="00F75A61" w:rsidRDefault="00F75A61" w14:paraId="6DD07B67" w14:textId="77777777">
      <w:pPr>
        <w:spacing w:after="0" w:line="240" w:lineRule="auto"/>
      </w:pPr>
      <w:r>
        <w:continuationSeparator/>
      </w:r>
    </w:p>
  </w:footnote>
  <w:footnote w:type="continuationNotice" w:id="1">
    <w:p w:rsidR="00F75A61" w:rsidRDefault="00F75A61" w14:paraId="15D4471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5A61" w:rsidP="4343E156" w:rsidRDefault="00F75A61" w14:paraId="2A7D54BC" w14:textId="204C5A4D">
    <w:pPr>
      <w:pStyle w:val="TableRow"/>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8E3898"/>
    <w:multiLevelType w:val="hybridMultilevel"/>
    <w:tmpl w:val="BA524C30"/>
    <w:lvl w:ilvl="0" w:tplc="6074D9B6">
      <w:start w:val="1"/>
      <w:numFmt w:val="bullet"/>
      <w:lvlText w:val=""/>
      <w:lvlJc w:val="left"/>
      <w:pPr>
        <w:ind w:left="720" w:hanging="360"/>
      </w:pPr>
      <w:rPr>
        <w:rFonts w:hint="default" w:ascii="Symbol" w:hAnsi="Symbol"/>
      </w:rPr>
    </w:lvl>
    <w:lvl w:ilvl="1" w:tplc="BD38B9A4">
      <w:start w:val="1"/>
      <w:numFmt w:val="bullet"/>
      <w:lvlText w:val="o"/>
      <w:lvlJc w:val="left"/>
      <w:pPr>
        <w:ind w:left="1440" w:hanging="360"/>
      </w:pPr>
      <w:rPr>
        <w:rFonts w:hint="default" w:ascii="Courier New" w:hAnsi="Courier New"/>
      </w:rPr>
    </w:lvl>
    <w:lvl w:ilvl="2" w:tplc="3BAA77AE">
      <w:start w:val="1"/>
      <w:numFmt w:val="bullet"/>
      <w:lvlText w:val=""/>
      <w:lvlJc w:val="left"/>
      <w:pPr>
        <w:ind w:left="2160" w:hanging="360"/>
      </w:pPr>
      <w:rPr>
        <w:rFonts w:hint="default" w:ascii="Wingdings" w:hAnsi="Wingdings"/>
      </w:rPr>
    </w:lvl>
    <w:lvl w:ilvl="3" w:tplc="B3E6FDA6">
      <w:start w:val="1"/>
      <w:numFmt w:val="bullet"/>
      <w:lvlText w:val=""/>
      <w:lvlJc w:val="left"/>
      <w:pPr>
        <w:ind w:left="2880" w:hanging="360"/>
      </w:pPr>
      <w:rPr>
        <w:rFonts w:hint="default" w:ascii="Symbol" w:hAnsi="Symbol"/>
      </w:rPr>
    </w:lvl>
    <w:lvl w:ilvl="4" w:tplc="8A20982E">
      <w:start w:val="1"/>
      <w:numFmt w:val="bullet"/>
      <w:lvlText w:val="o"/>
      <w:lvlJc w:val="left"/>
      <w:pPr>
        <w:ind w:left="3600" w:hanging="360"/>
      </w:pPr>
      <w:rPr>
        <w:rFonts w:hint="default" w:ascii="Courier New" w:hAnsi="Courier New"/>
      </w:rPr>
    </w:lvl>
    <w:lvl w:ilvl="5" w:tplc="93B4E0AA">
      <w:start w:val="1"/>
      <w:numFmt w:val="bullet"/>
      <w:lvlText w:val=""/>
      <w:lvlJc w:val="left"/>
      <w:pPr>
        <w:ind w:left="4320" w:hanging="360"/>
      </w:pPr>
      <w:rPr>
        <w:rFonts w:hint="default" w:ascii="Wingdings" w:hAnsi="Wingdings"/>
      </w:rPr>
    </w:lvl>
    <w:lvl w:ilvl="6" w:tplc="58E821F4">
      <w:start w:val="1"/>
      <w:numFmt w:val="bullet"/>
      <w:lvlText w:val=""/>
      <w:lvlJc w:val="left"/>
      <w:pPr>
        <w:ind w:left="5040" w:hanging="360"/>
      </w:pPr>
      <w:rPr>
        <w:rFonts w:hint="default" w:ascii="Symbol" w:hAnsi="Symbol"/>
      </w:rPr>
    </w:lvl>
    <w:lvl w:ilvl="7" w:tplc="DF78A05E">
      <w:start w:val="1"/>
      <w:numFmt w:val="bullet"/>
      <w:lvlText w:val="o"/>
      <w:lvlJc w:val="left"/>
      <w:pPr>
        <w:ind w:left="5760" w:hanging="360"/>
      </w:pPr>
      <w:rPr>
        <w:rFonts w:hint="default" w:ascii="Courier New" w:hAnsi="Courier New"/>
      </w:rPr>
    </w:lvl>
    <w:lvl w:ilvl="8" w:tplc="CCC672F8">
      <w:start w:val="1"/>
      <w:numFmt w:val="bullet"/>
      <w:lvlText w:val=""/>
      <w:lvlJc w:val="left"/>
      <w:pPr>
        <w:ind w:left="6480" w:hanging="360"/>
      </w:pPr>
      <w:rPr>
        <w:rFonts w:hint="default"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E9246D8"/>
    <w:multiLevelType w:val="hybridMultilevel"/>
    <w:tmpl w:val="04E4D9C8"/>
    <w:lvl w:ilvl="0" w:tplc="613007BC">
      <w:start w:val="1"/>
      <w:numFmt w:val="bullet"/>
      <w:lvlText w:val=""/>
      <w:lvlJc w:val="left"/>
      <w:pPr>
        <w:ind w:left="720" w:hanging="360"/>
      </w:pPr>
      <w:rPr>
        <w:rFonts w:hint="default" w:ascii="Symbol" w:hAnsi="Symbol"/>
      </w:rPr>
    </w:lvl>
    <w:lvl w:ilvl="1" w:tplc="F0B6251A">
      <w:start w:val="1"/>
      <w:numFmt w:val="bullet"/>
      <w:lvlText w:val="o"/>
      <w:lvlJc w:val="left"/>
      <w:pPr>
        <w:ind w:left="1440" w:hanging="360"/>
      </w:pPr>
      <w:rPr>
        <w:rFonts w:hint="default" w:ascii="Courier New" w:hAnsi="Courier New"/>
      </w:rPr>
    </w:lvl>
    <w:lvl w:ilvl="2" w:tplc="C1FA0A08">
      <w:start w:val="1"/>
      <w:numFmt w:val="bullet"/>
      <w:lvlText w:val=""/>
      <w:lvlJc w:val="left"/>
      <w:pPr>
        <w:ind w:left="2160" w:hanging="360"/>
      </w:pPr>
      <w:rPr>
        <w:rFonts w:hint="default" w:ascii="Wingdings" w:hAnsi="Wingdings"/>
      </w:rPr>
    </w:lvl>
    <w:lvl w:ilvl="3" w:tplc="24FE77F6">
      <w:start w:val="1"/>
      <w:numFmt w:val="bullet"/>
      <w:lvlText w:val=""/>
      <w:lvlJc w:val="left"/>
      <w:pPr>
        <w:ind w:left="2880" w:hanging="360"/>
      </w:pPr>
      <w:rPr>
        <w:rFonts w:hint="default" w:ascii="Symbol" w:hAnsi="Symbol"/>
      </w:rPr>
    </w:lvl>
    <w:lvl w:ilvl="4" w:tplc="B12EE826">
      <w:start w:val="1"/>
      <w:numFmt w:val="bullet"/>
      <w:lvlText w:val="o"/>
      <w:lvlJc w:val="left"/>
      <w:pPr>
        <w:ind w:left="3600" w:hanging="360"/>
      </w:pPr>
      <w:rPr>
        <w:rFonts w:hint="default" w:ascii="Courier New" w:hAnsi="Courier New"/>
      </w:rPr>
    </w:lvl>
    <w:lvl w:ilvl="5" w:tplc="A4E462B8">
      <w:start w:val="1"/>
      <w:numFmt w:val="bullet"/>
      <w:lvlText w:val=""/>
      <w:lvlJc w:val="left"/>
      <w:pPr>
        <w:ind w:left="4320" w:hanging="360"/>
      </w:pPr>
      <w:rPr>
        <w:rFonts w:hint="default" w:ascii="Wingdings" w:hAnsi="Wingdings"/>
      </w:rPr>
    </w:lvl>
    <w:lvl w:ilvl="6" w:tplc="902A2C24">
      <w:start w:val="1"/>
      <w:numFmt w:val="bullet"/>
      <w:lvlText w:val=""/>
      <w:lvlJc w:val="left"/>
      <w:pPr>
        <w:ind w:left="5040" w:hanging="360"/>
      </w:pPr>
      <w:rPr>
        <w:rFonts w:hint="default" w:ascii="Symbol" w:hAnsi="Symbol"/>
      </w:rPr>
    </w:lvl>
    <w:lvl w:ilvl="7" w:tplc="EE3AC3E4">
      <w:start w:val="1"/>
      <w:numFmt w:val="bullet"/>
      <w:lvlText w:val="o"/>
      <w:lvlJc w:val="left"/>
      <w:pPr>
        <w:ind w:left="5760" w:hanging="360"/>
      </w:pPr>
      <w:rPr>
        <w:rFonts w:hint="default" w:ascii="Courier New" w:hAnsi="Courier New"/>
      </w:rPr>
    </w:lvl>
    <w:lvl w:ilvl="8" w:tplc="B5889DA4">
      <w:start w:val="1"/>
      <w:numFmt w:val="bullet"/>
      <w:lvlText w:val=""/>
      <w:lvlJc w:val="left"/>
      <w:pPr>
        <w:ind w:left="6480" w:hanging="360"/>
      </w:pPr>
      <w:rPr>
        <w:rFonts w:hint="default" w:ascii="Wingdings" w:hAnsi="Wingdings"/>
      </w:rPr>
    </w:lvl>
  </w:abstractNum>
  <w:abstractNum w:abstractNumId="7" w15:restartNumberingAfterBreak="0">
    <w:nsid w:val="2EF81293"/>
    <w:multiLevelType w:val="hybridMultilevel"/>
    <w:tmpl w:val="AC6E9E5E"/>
    <w:lvl w:ilvl="0" w:tplc="197A9BB4">
      <w:start w:val="1"/>
      <w:numFmt w:val="bullet"/>
      <w:lvlText w:val=""/>
      <w:lvlJc w:val="left"/>
      <w:pPr>
        <w:ind w:left="720" w:hanging="360"/>
      </w:pPr>
      <w:rPr>
        <w:rFonts w:hint="default" w:ascii="Symbol" w:hAnsi="Symbol"/>
      </w:rPr>
    </w:lvl>
    <w:lvl w:ilvl="1" w:tplc="EFAC3062">
      <w:start w:val="1"/>
      <w:numFmt w:val="bullet"/>
      <w:lvlText w:val="o"/>
      <w:lvlJc w:val="left"/>
      <w:pPr>
        <w:ind w:left="1440" w:hanging="360"/>
      </w:pPr>
      <w:rPr>
        <w:rFonts w:hint="default" w:ascii="Courier New" w:hAnsi="Courier New"/>
      </w:rPr>
    </w:lvl>
    <w:lvl w:ilvl="2" w:tplc="6DF6D1B4">
      <w:start w:val="1"/>
      <w:numFmt w:val="bullet"/>
      <w:lvlText w:val=""/>
      <w:lvlJc w:val="left"/>
      <w:pPr>
        <w:ind w:left="2160" w:hanging="360"/>
      </w:pPr>
      <w:rPr>
        <w:rFonts w:hint="default" w:ascii="Wingdings" w:hAnsi="Wingdings"/>
      </w:rPr>
    </w:lvl>
    <w:lvl w:ilvl="3" w:tplc="9424CE9C">
      <w:start w:val="1"/>
      <w:numFmt w:val="bullet"/>
      <w:lvlText w:val=""/>
      <w:lvlJc w:val="left"/>
      <w:pPr>
        <w:ind w:left="2880" w:hanging="360"/>
      </w:pPr>
      <w:rPr>
        <w:rFonts w:hint="default" w:ascii="Symbol" w:hAnsi="Symbol"/>
      </w:rPr>
    </w:lvl>
    <w:lvl w:ilvl="4" w:tplc="CBBC6C9C">
      <w:start w:val="1"/>
      <w:numFmt w:val="bullet"/>
      <w:lvlText w:val="o"/>
      <w:lvlJc w:val="left"/>
      <w:pPr>
        <w:ind w:left="3600" w:hanging="360"/>
      </w:pPr>
      <w:rPr>
        <w:rFonts w:hint="default" w:ascii="Courier New" w:hAnsi="Courier New"/>
      </w:rPr>
    </w:lvl>
    <w:lvl w:ilvl="5" w:tplc="1B7CE2A8">
      <w:start w:val="1"/>
      <w:numFmt w:val="bullet"/>
      <w:lvlText w:val=""/>
      <w:lvlJc w:val="left"/>
      <w:pPr>
        <w:ind w:left="4320" w:hanging="360"/>
      </w:pPr>
      <w:rPr>
        <w:rFonts w:hint="default" w:ascii="Wingdings" w:hAnsi="Wingdings"/>
      </w:rPr>
    </w:lvl>
    <w:lvl w:ilvl="6" w:tplc="E8046D8A">
      <w:start w:val="1"/>
      <w:numFmt w:val="bullet"/>
      <w:lvlText w:val=""/>
      <w:lvlJc w:val="left"/>
      <w:pPr>
        <w:ind w:left="5040" w:hanging="360"/>
      </w:pPr>
      <w:rPr>
        <w:rFonts w:hint="default" w:ascii="Symbol" w:hAnsi="Symbol"/>
      </w:rPr>
    </w:lvl>
    <w:lvl w:ilvl="7" w:tplc="E3CA65AE">
      <w:start w:val="1"/>
      <w:numFmt w:val="bullet"/>
      <w:lvlText w:val="o"/>
      <w:lvlJc w:val="left"/>
      <w:pPr>
        <w:ind w:left="5760" w:hanging="360"/>
      </w:pPr>
      <w:rPr>
        <w:rFonts w:hint="default" w:ascii="Courier New" w:hAnsi="Courier New"/>
      </w:rPr>
    </w:lvl>
    <w:lvl w:ilvl="8" w:tplc="3DE4D04A">
      <w:start w:val="1"/>
      <w:numFmt w:val="bullet"/>
      <w:lvlText w:val=""/>
      <w:lvlJc w:val="left"/>
      <w:pPr>
        <w:ind w:left="6480" w:hanging="360"/>
      </w:pPr>
      <w:rPr>
        <w:rFonts w:hint="default" w:ascii="Wingdings" w:hAnsi="Wingdings"/>
      </w:rPr>
    </w:lvl>
  </w:abstractNum>
  <w:abstractNum w:abstractNumId="8" w15:restartNumberingAfterBreak="0">
    <w:nsid w:val="2F3F4978"/>
    <w:multiLevelType w:val="multilevel"/>
    <w:tmpl w:val="A296BC9C"/>
    <w:styleLink w:val="LFO4"/>
    <w:lvl w:ilvl="0">
      <w:numFmt w:val="bullet"/>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E126A89"/>
    <w:multiLevelType w:val="hybridMultilevel"/>
    <w:tmpl w:val="D0CE010E"/>
    <w:lvl w:ilvl="0" w:tplc="C6B251B4">
      <w:start w:val="1"/>
      <w:numFmt w:val="bullet"/>
      <w:lvlText w:val="·"/>
      <w:lvlJc w:val="left"/>
      <w:pPr>
        <w:ind w:left="720" w:hanging="360"/>
      </w:pPr>
      <w:rPr>
        <w:rFonts w:hint="default" w:ascii="Symbol" w:hAnsi="Symbol"/>
      </w:rPr>
    </w:lvl>
    <w:lvl w:ilvl="1" w:tplc="BBF63BDA">
      <w:start w:val="1"/>
      <w:numFmt w:val="bullet"/>
      <w:lvlText w:val="o"/>
      <w:lvlJc w:val="left"/>
      <w:pPr>
        <w:ind w:left="1440" w:hanging="360"/>
      </w:pPr>
      <w:rPr>
        <w:rFonts w:hint="default" w:ascii="Courier New" w:hAnsi="Courier New"/>
      </w:rPr>
    </w:lvl>
    <w:lvl w:ilvl="2" w:tplc="813A0394">
      <w:start w:val="1"/>
      <w:numFmt w:val="bullet"/>
      <w:lvlText w:val=""/>
      <w:lvlJc w:val="left"/>
      <w:pPr>
        <w:ind w:left="2160" w:hanging="360"/>
      </w:pPr>
      <w:rPr>
        <w:rFonts w:hint="default" w:ascii="Wingdings" w:hAnsi="Wingdings"/>
      </w:rPr>
    </w:lvl>
    <w:lvl w:ilvl="3" w:tplc="ACF23406">
      <w:start w:val="1"/>
      <w:numFmt w:val="bullet"/>
      <w:lvlText w:val=""/>
      <w:lvlJc w:val="left"/>
      <w:pPr>
        <w:ind w:left="2880" w:hanging="360"/>
      </w:pPr>
      <w:rPr>
        <w:rFonts w:hint="default" w:ascii="Symbol" w:hAnsi="Symbol"/>
      </w:rPr>
    </w:lvl>
    <w:lvl w:ilvl="4" w:tplc="36FA7116">
      <w:start w:val="1"/>
      <w:numFmt w:val="bullet"/>
      <w:lvlText w:val="o"/>
      <w:lvlJc w:val="left"/>
      <w:pPr>
        <w:ind w:left="3600" w:hanging="360"/>
      </w:pPr>
      <w:rPr>
        <w:rFonts w:hint="default" w:ascii="Courier New" w:hAnsi="Courier New"/>
      </w:rPr>
    </w:lvl>
    <w:lvl w:ilvl="5" w:tplc="BA2242D6">
      <w:start w:val="1"/>
      <w:numFmt w:val="bullet"/>
      <w:lvlText w:val=""/>
      <w:lvlJc w:val="left"/>
      <w:pPr>
        <w:ind w:left="4320" w:hanging="360"/>
      </w:pPr>
      <w:rPr>
        <w:rFonts w:hint="default" w:ascii="Wingdings" w:hAnsi="Wingdings"/>
      </w:rPr>
    </w:lvl>
    <w:lvl w:ilvl="6" w:tplc="9968B220">
      <w:start w:val="1"/>
      <w:numFmt w:val="bullet"/>
      <w:lvlText w:val=""/>
      <w:lvlJc w:val="left"/>
      <w:pPr>
        <w:ind w:left="5040" w:hanging="360"/>
      </w:pPr>
      <w:rPr>
        <w:rFonts w:hint="default" w:ascii="Symbol" w:hAnsi="Symbol"/>
      </w:rPr>
    </w:lvl>
    <w:lvl w:ilvl="7" w:tplc="EB60528E">
      <w:start w:val="1"/>
      <w:numFmt w:val="bullet"/>
      <w:lvlText w:val="o"/>
      <w:lvlJc w:val="left"/>
      <w:pPr>
        <w:ind w:left="5760" w:hanging="360"/>
      </w:pPr>
      <w:rPr>
        <w:rFonts w:hint="default" w:ascii="Courier New" w:hAnsi="Courier New"/>
      </w:rPr>
    </w:lvl>
    <w:lvl w:ilvl="8" w:tplc="78E42DF6">
      <w:start w:val="1"/>
      <w:numFmt w:val="bullet"/>
      <w:lvlText w:val=""/>
      <w:lvlJc w:val="left"/>
      <w:pPr>
        <w:ind w:left="6480" w:hanging="360"/>
      </w:pPr>
      <w:rPr>
        <w:rFonts w:hint="default" w:ascii="Wingdings" w:hAnsi="Wingdings"/>
      </w:rPr>
    </w:lvl>
  </w:abstractNum>
  <w:abstractNum w:abstractNumId="10" w15:restartNumberingAfterBreak="0">
    <w:nsid w:val="3FE9198B"/>
    <w:multiLevelType w:val="hybridMultilevel"/>
    <w:tmpl w:val="2A508BBA"/>
    <w:styleLink w:val="LFO9"/>
    <w:lvl w:ilvl="0" w:tplc="0ADE5250">
      <w:numFmt w:val="bullet"/>
      <w:pStyle w:val="ListBullet2"/>
      <w:lvlText w:val=""/>
      <w:lvlJc w:val="left"/>
      <w:pPr>
        <w:ind w:left="643" w:hanging="360"/>
      </w:pPr>
      <w:rPr>
        <w:rFonts w:ascii="Symbol" w:hAnsi="Symbol"/>
      </w:rPr>
    </w:lvl>
    <w:lvl w:ilvl="1" w:tplc="38E8A662">
      <w:start w:val="1"/>
      <w:numFmt w:val="none"/>
      <w:lvlText w:val="%2"/>
      <w:lvlJc w:val="left"/>
    </w:lvl>
    <w:lvl w:ilvl="2" w:tplc="79AAFC1C">
      <w:start w:val="1"/>
      <w:numFmt w:val="none"/>
      <w:lvlText w:val="%3"/>
      <w:lvlJc w:val="left"/>
    </w:lvl>
    <w:lvl w:ilvl="3" w:tplc="3FFE626E">
      <w:start w:val="1"/>
      <w:numFmt w:val="none"/>
      <w:lvlText w:val="%4"/>
      <w:lvlJc w:val="left"/>
    </w:lvl>
    <w:lvl w:ilvl="4" w:tplc="B4383DD0">
      <w:start w:val="1"/>
      <w:numFmt w:val="none"/>
      <w:lvlText w:val="%5"/>
      <w:lvlJc w:val="left"/>
    </w:lvl>
    <w:lvl w:ilvl="5" w:tplc="A4F6DEF2">
      <w:start w:val="1"/>
      <w:numFmt w:val="none"/>
      <w:lvlText w:val="%6"/>
      <w:lvlJc w:val="left"/>
    </w:lvl>
    <w:lvl w:ilvl="6" w:tplc="9620B298">
      <w:start w:val="1"/>
      <w:numFmt w:val="none"/>
      <w:lvlText w:val="%7"/>
      <w:lvlJc w:val="left"/>
    </w:lvl>
    <w:lvl w:ilvl="7" w:tplc="1A28D2AA">
      <w:start w:val="1"/>
      <w:numFmt w:val="none"/>
      <w:lvlText w:val="%8"/>
      <w:lvlJc w:val="left"/>
    </w:lvl>
    <w:lvl w:ilvl="8" w:tplc="60D2CE9A">
      <w:start w:val="1"/>
      <w:numFmt w:val="none"/>
      <w:lvlText w:val="%9"/>
      <w:lvlJc w:val="left"/>
    </w:lvl>
  </w:abstractNum>
  <w:abstractNum w:abstractNumId="11" w15:restartNumberingAfterBreak="0">
    <w:nsid w:val="43A8493F"/>
    <w:multiLevelType w:val="hybridMultilevel"/>
    <w:tmpl w:val="87BE147C"/>
    <w:lvl w:ilvl="0" w:tplc="1EAAB4B2">
      <w:start w:val="1"/>
      <w:numFmt w:val="bullet"/>
      <w:lvlText w:val=""/>
      <w:lvlJc w:val="left"/>
      <w:pPr>
        <w:ind w:left="720" w:hanging="360"/>
      </w:pPr>
      <w:rPr>
        <w:rFonts w:hint="default" w:ascii="Symbol" w:hAnsi="Symbol"/>
      </w:rPr>
    </w:lvl>
    <w:lvl w:ilvl="1" w:tplc="7DCEAD96">
      <w:start w:val="1"/>
      <w:numFmt w:val="bullet"/>
      <w:lvlText w:val="o"/>
      <w:lvlJc w:val="left"/>
      <w:pPr>
        <w:ind w:left="1440" w:hanging="360"/>
      </w:pPr>
      <w:rPr>
        <w:rFonts w:hint="default" w:ascii="Courier New" w:hAnsi="Courier New"/>
      </w:rPr>
    </w:lvl>
    <w:lvl w:ilvl="2" w:tplc="EBB4DFD4">
      <w:start w:val="1"/>
      <w:numFmt w:val="bullet"/>
      <w:lvlText w:val=""/>
      <w:lvlJc w:val="left"/>
      <w:pPr>
        <w:ind w:left="2160" w:hanging="360"/>
      </w:pPr>
      <w:rPr>
        <w:rFonts w:hint="default" w:ascii="Wingdings" w:hAnsi="Wingdings"/>
      </w:rPr>
    </w:lvl>
    <w:lvl w:ilvl="3" w:tplc="8CB80A0E">
      <w:start w:val="1"/>
      <w:numFmt w:val="bullet"/>
      <w:lvlText w:val=""/>
      <w:lvlJc w:val="left"/>
      <w:pPr>
        <w:ind w:left="2880" w:hanging="360"/>
      </w:pPr>
      <w:rPr>
        <w:rFonts w:hint="default" w:ascii="Symbol" w:hAnsi="Symbol"/>
      </w:rPr>
    </w:lvl>
    <w:lvl w:ilvl="4" w:tplc="174035CA">
      <w:start w:val="1"/>
      <w:numFmt w:val="bullet"/>
      <w:lvlText w:val="o"/>
      <w:lvlJc w:val="left"/>
      <w:pPr>
        <w:ind w:left="3600" w:hanging="360"/>
      </w:pPr>
      <w:rPr>
        <w:rFonts w:hint="default" w:ascii="Courier New" w:hAnsi="Courier New"/>
      </w:rPr>
    </w:lvl>
    <w:lvl w:ilvl="5" w:tplc="13A8923C">
      <w:start w:val="1"/>
      <w:numFmt w:val="bullet"/>
      <w:lvlText w:val=""/>
      <w:lvlJc w:val="left"/>
      <w:pPr>
        <w:ind w:left="4320" w:hanging="360"/>
      </w:pPr>
      <w:rPr>
        <w:rFonts w:hint="default" w:ascii="Wingdings" w:hAnsi="Wingdings"/>
      </w:rPr>
    </w:lvl>
    <w:lvl w:ilvl="6" w:tplc="878CAEAA">
      <w:start w:val="1"/>
      <w:numFmt w:val="bullet"/>
      <w:lvlText w:val=""/>
      <w:lvlJc w:val="left"/>
      <w:pPr>
        <w:ind w:left="5040" w:hanging="360"/>
      </w:pPr>
      <w:rPr>
        <w:rFonts w:hint="default" w:ascii="Symbol" w:hAnsi="Symbol"/>
      </w:rPr>
    </w:lvl>
    <w:lvl w:ilvl="7" w:tplc="5512F3AA">
      <w:start w:val="1"/>
      <w:numFmt w:val="bullet"/>
      <w:lvlText w:val="o"/>
      <w:lvlJc w:val="left"/>
      <w:pPr>
        <w:ind w:left="5760" w:hanging="360"/>
      </w:pPr>
      <w:rPr>
        <w:rFonts w:hint="default" w:ascii="Courier New" w:hAnsi="Courier New"/>
      </w:rPr>
    </w:lvl>
    <w:lvl w:ilvl="8" w:tplc="56B00068">
      <w:start w:val="1"/>
      <w:numFmt w:val="bullet"/>
      <w:lvlText w:val=""/>
      <w:lvlJc w:val="left"/>
      <w:pPr>
        <w:ind w:left="6480" w:hanging="360"/>
      </w:pPr>
      <w:rPr>
        <w:rFonts w:hint="default" w:ascii="Wingdings" w:hAnsi="Wingdings"/>
      </w:rPr>
    </w:lvl>
  </w:abstractNum>
  <w:abstractNum w:abstractNumId="12" w15:restartNumberingAfterBreak="0">
    <w:nsid w:val="4D4D36B8"/>
    <w:multiLevelType w:val="hybridMultilevel"/>
    <w:tmpl w:val="D1460FF2"/>
    <w:lvl w:ilvl="0" w:tplc="FEE2C6E0">
      <w:start w:val="1"/>
      <w:numFmt w:val="decimal"/>
      <w:lvlText w:val="%1."/>
      <w:lvlJc w:val="left"/>
      <w:pPr>
        <w:ind w:left="720" w:hanging="360"/>
      </w:pPr>
    </w:lvl>
    <w:lvl w:ilvl="1" w:tplc="2DAED728">
      <w:start w:val="1"/>
      <w:numFmt w:val="lowerLetter"/>
      <w:lvlText w:val="%2."/>
      <w:lvlJc w:val="left"/>
      <w:pPr>
        <w:ind w:left="1440" w:hanging="360"/>
      </w:pPr>
    </w:lvl>
    <w:lvl w:ilvl="2" w:tplc="D6A87312">
      <w:start w:val="1"/>
      <w:numFmt w:val="lowerRoman"/>
      <w:lvlText w:val="%3."/>
      <w:lvlJc w:val="right"/>
      <w:pPr>
        <w:ind w:left="2160" w:hanging="180"/>
      </w:pPr>
    </w:lvl>
    <w:lvl w:ilvl="3" w:tplc="E0F4749A">
      <w:start w:val="1"/>
      <w:numFmt w:val="decimal"/>
      <w:lvlText w:val="%4."/>
      <w:lvlJc w:val="left"/>
      <w:pPr>
        <w:ind w:left="2880" w:hanging="360"/>
      </w:pPr>
    </w:lvl>
    <w:lvl w:ilvl="4" w:tplc="9E4A09EC">
      <w:start w:val="1"/>
      <w:numFmt w:val="lowerLetter"/>
      <w:lvlText w:val="%5."/>
      <w:lvlJc w:val="left"/>
      <w:pPr>
        <w:ind w:left="3600" w:hanging="360"/>
      </w:pPr>
    </w:lvl>
    <w:lvl w:ilvl="5" w:tplc="09A2D638">
      <w:start w:val="1"/>
      <w:numFmt w:val="lowerRoman"/>
      <w:lvlText w:val="%6."/>
      <w:lvlJc w:val="right"/>
      <w:pPr>
        <w:ind w:left="4320" w:hanging="180"/>
      </w:pPr>
    </w:lvl>
    <w:lvl w:ilvl="6" w:tplc="BF409F12">
      <w:start w:val="1"/>
      <w:numFmt w:val="decimal"/>
      <w:lvlText w:val="%7."/>
      <w:lvlJc w:val="left"/>
      <w:pPr>
        <w:ind w:left="5040" w:hanging="360"/>
      </w:pPr>
    </w:lvl>
    <w:lvl w:ilvl="7" w:tplc="0B8A1518">
      <w:start w:val="1"/>
      <w:numFmt w:val="lowerLetter"/>
      <w:lvlText w:val="%8."/>
      <w:lvlJc w:val="left"/>
      <w:pPr>
        <w:ind w:left="5760" w:hanging="360"/>
      </w:pPr>
    </w:lvl>
    <w:lvl w:ilvl="8" w:tplc="97FE7A22">
      <w:start w:val="1"/>
      <w:numFmt w:val="lowerRoman"/>
      <w:lvlText w:val="%9."/>
      <w:lvlJc w:val="right"/>
      <w:pPr>
        <w:ind w:left="6480" w:hanging="180"/>
      </w:pPr>
    </w:lvl>
  </w:abstractNum>
  <w:abstractNum w:abstractNumId="13" w15:restartNumberingAfterBreak="0">
    <w:nsid w:val="68F37F9D"/>
    <w:multiLevelType w:val="multilevel"/>
    <w:tmpl w:val="DE90E1B2"/>
    <w:styleLink w:val="LFO10"/>
    <w:lvl w:ilvl="0">
      <w:numFmt w:val="bullet"/>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hybridMultilevel"/>
    <w:tmpl w:val="009E2204"/>
    <w:styleLink w:val="LFO36"/>
    <w:lvl w:ilvl="0" w:tplc="5D36520E">
      <w:numFmt w:val="bullet"/>
      <w:pStyle w:val="DfESBullets"/>
      <w:lvlText w:val=""/>
      <w:lvlJc w:val="left"/>
      <w:pPr>
        <w:ind w:left="1080" w:hanging="360"/>
      </w:pPr>
      <w:rPr>
        <w:rFonts w:ascii="Symbol" w:hAnsi="Symbol"/>
      </w:rPr>
    </w:lvl>
    <w:lvl w:ilvl="1" w:tplc="79A88054">
      <w:numFmt w:val="bullet"/>
      <w:lvlText w:val="o"/>
      <w:lvlJc w:val="left"/>
      <w:pPr>
        <w:ind w:left="1800" w:hanging="360"/>
      </w:pPr>
      <w:rPr>
        <w:rFonts w:ascii="Courier New" w:hAnsi="Courier New" w:cs="Courier New"/>
      </w:rPr>
    </w:lvl>
    <w:lvl w:ilvl="2" w:tplc="7744D90C">
      <w:numFmt w:val="bullet"/>
      <w:lvlText w:val=""/>
      <w:lvlJc w:val="left"/>
      <w:pPr>
        <w:ind w:left="2520" w:hanging="360"/>
      </w:pPr>
      <w:rPr>
        <w:rFonts w:ascii="Wingdings" w:hAnsi="Wingdings"/>
      </w:rPr>
    </w:lvl>
    <w:lvl w:ilvl="3" w:tplc="3A2AEA02">
      <w:numFmt w:val="bullet"/>
      <w:lvlText w:val=""/>
      <w:lvlJc w:val="left"/>
      <w:pPr>
        <w:ind w:left="3240" w:hanging="360"/>
      </w:pPr>
      <w:rPr>
        <w:rFonts w:ascii="Symbol" w:hAnsi="Symbol"/>
      </w:rPr>
    </w:lvl>
    <w:lvl w:ilvl="4" w:tplc="E99CA1EC">
      <w:numFmt w:val="bullet"/>
      <w:lvlText w:val="o"/>
      <w:lvlJc w:val="left"/>
      <w:pPr>
        <w:ind w:left="3960" w:hanging="360"/>
      </w:pPr>
      <w:rPr>
        <w:rFonts w:ascii="Courier New" w:hAnsi="Courier New" w:cs="Courier New"/>
      </w:rPr>
    </w:lvl>
    <w:lvl w:ilvl="5" w:tplc="8BA6DF2C">
      <w:numFmt w:val="bullet"/>
      <w:lvlText w:val=""/>
      <w:lvlJc w:val="left"/>
      <w:pPr>
        <w:ind w:left="4680" w:hanging="360"/>
      </w:pPr>
      <w:rPr>
        <w:rFonts w:ascii="Wingdings" w:hAnsi="Wingdings"/>
      </w:rPr>
    </w:lvl>
    <w:lvl w:ilvl="6" w:tplc="355A4AD4">
      <w:numFmt w:val="bullet"/>
      <w:lvlText w:val=""/>
      <w:lvlJc w:val="left"/>
      <w:pPr>
        <w:ind w:left="5400" w:hanging="360"/>
      </w:pPr>
      <w:rPr>
        <w:rFonts w:ascii="Symbol" w:hAnsi="Symbol"/>
      </w:rPr>
    </w:lvl>
    <w:lvl w:ilvl="7" w:tplc="2868807A">
      <w:numFmt w:val="bullet"/>
      <w:lvlText w:val="o"/>
      <w:lvlJc w:val="left"/>
      <w:pPr>
        <w:ind w:left="6120" w:hanging="360"/>
      </w:pPr>
      <w:rPr>
        <w:rFonts w:ascii="Courier New" w:hAnsi="Courier New" w:cs="Courier New"/>
      </w:rPr>
    </w:lvl>
    <w:lvl w:ilvl="8" w:tplc="505665DC">
      <w:numFmt w:val="bullet"/>
      <w:lvlText w:val=""/>
      <w:lvlJc w:val="left"/>
      <w:pPr>
        <w:ind w:left="6840" w:hanging="360"/>
      </w:pPr>
      <w:rPr>
        <w:rFonts w:ascii="Wingdings" w:hAnsi="Wingdings"/>
      </w:rPr>
    </w:lvl>
  </w:abstractNum>
  <w:abstractNum w:abstractNumId="17" w15:restartNumberingAfterBreak="0">
    <w:nsid w:val="731657F0"/>
    <w:multiLevelType w:val="hybridMultilevel"/>
    <w:tmpl w:val="FFFFFFFF"/>
    <w:lvl w:ilvl="0" w:tplc="B78849BE">
      <w:start w:val="1"/>
      <w:numFmt w:val="bullet"/>
      <w:lvlText w:val=""/>
      <w:lvlJc w:val="left"/>
      <w:pPr>
        <w:ind w:left="720" w:hanging="360"/>
      </w:pPr>
      <w:rPr>
        <w:rFonts w:hint="default" w:ascii="Symbol" w:hAnsi="Symbol"/>
      </w:rPr>
    </w:lvl>
    <w:lvl w:ilvl="1" w:tplc="83EA1070">
      <w:start w:val="1"/>
      <w:numFmt w:val="bullet"/>
      <w:lvlText w:val="o"/>
      <w:lvlJc w:val="left"/>
      <w:pPr>
        <w:ind w:left="1440" w:hanging="360"/>
      </w:pPr>
      <w:rPr>
        <w:rFonts w:hint="default" w:ascii="Courier New" w:hAnsi="Courier New"/>
      </w:rPr>
    </w:lvl>
    <w:lvl w:ilvl="2" w:tplc="FFEC8524">
      <w:start w:val="1"/>
      <w:numFmt w:val="bullet"/>
      <w:lvlText w:val=""/>
      <w:lvlJc w:val="left"/>
      <w:pPr>
        <w:ind w:left="2160" w:hanging="360"/>
      </w:pPr>
      <w:rPr>
        <w:rFonts w:hint="default" w:ascii="Wingdings" w:hAnsi="Wingdings"/>
      </w:rPr>
    </w:lvl>
    <w:lvl w:ilvl="3" w:tplc="17AA133C">
      <w:start w:val="1"/>
      <w:numFmt w:val="bullet"/>
      <w:lvlText w:val=""/>
      <w:lvlJc w:val="left"/>
      <w:pPr>
        <w:ind w:left="2880" w:hanging="360"/>
      </w:pPr>
      <w:rPr>
        <w:rFonts w:hint="default" w:ascii="Symbol" w:hAnsi="Symbol"/>
      </w:rPr>
    </w:lvl>
    <w:lvl w:ilvl="4" w:tplc="43E65518">
      <w:start w:val="1"/>
      <w:numFmt w:val="bullet"/>
      <w:lvlText w:val="o"/>
      <w:lvlJc w:val="left"/>
      <w:pPr>
        <w:ind w:left="3600" w:hanging="360"/>
      </w:pPr>
      <w:rPr>
        <w:rFonts w:hint="default" w:ascii="Courier New" w:hAnsi="Courier New"/>
      </w:rPr>
    </w:lvl>
    <w:lvl w:ilvl="5" w:tplc="D87807B8">
      <w:start w:val="1"/>
      <w:numFmt w:val="bullet"/>
      <w:lvlText w:val=""/>
      <w:lvlJc w:val="left"/>
      <w:pPr>
        <w:ind w:left="4320" w:hanging="360"/>
      </w:pPr>
      <w:rPr>
        <w:rFonts w:hint="default" w:ascii="Wingdings" w:hAnsi="Wingdings"/>
      </w:rPr>
    </w:lvl>
    <w:lvl w:ilvl="6" w:tplc="855A657A">
      <w:start w:val="1"/>
      <w:numFmt w:val="bullet"/>
      <w:lvlText w:val=""/>
      <w:lvlJc w:val="left"/>
      <w:pPr>
        <w:ind w:left="5040" w:hanging="360"/>
      </w:pPr>
      <w:rPr>
        <w:rFonts w:hint="default" w:ascii="Symbol" w:hAnsi="Symbol"/>
      </w:rPr>
    </w:lvl>
    <w:lvl w:ilvl="7" w:tplc="8D185564">
      <w:start w:val="1"/>
      <w:numFmt w:val="bullet"/>
      <w:lvlText w:val="o"/>
      <w:lvlJc w:val="left"/>
      <w:pPr>
        <w:ind w:left="5760" w:hanging="360"/>
      </w:pPr>
      <w:rPr>
        <w:rFonts w:hint="default" w:ascii="Courier New" w:hAnsi="Courier New"/>
      </w:rPr>
    </w:lvl>
    <w:lvl w:ilvl="8" w:tplc="5B148EAA">
      <w:start w:val="1"/>
      <w:numFmt w:val="bullet"/>
      <w:lvlText w:val=""/>
      <w:lvlJc w:val="left"/>
      <w:pPr>
        <w:ind w:left="6480" w:hanging="360"/>
      </w:pPr>
      <w:rPr>
        <w:rFonts w:hint="default" w:ascii="Wingdings" w:hAnsi="Wingdings"/>
      </w:rPr>
    </w:lvl>
  </w:abstractNum>
  <w:abstractNum w:abstractNumId="18" w15:restartNumberingAfterBreak="0">
    <w:nsid w:val="75CE2048"/>
    <w:multiLevelType w:val="hybridMultilevel"/>
    <w:tmpl w:val="2E54C3FA"/>
    <w:styleLink w:val="LFO25"/>
    <w:lvl w:ilvl="0" w:tplc="6538ACBA">
      <w:numFmt w:val="bullet"/>
      <w:pStyle w:val="ListParagraph"/>
      <w:lvlText w:val=""/>
      <w:lvlJc w:val="left"/>
      <w:pPr>
        <w:ind w:left="720" w:hanging="360"/>
      </w:pPr>
      <w:rPr>
        <w:rFonts w:ascii="Symbol" w:hAnsi="Symbol"/>
      </w:rPr>
    </w:lvl>
    <w:lvl w:ilvl="1" w:tplc="D9E84D84">
      <w:numFmt w:val="bullet"/>
      <w:lvlText w:val=""/>
      <w:lvlJc w:val="left"/>
      <w:pPr>
        <w:ind w:left="1440" w:hanging="360"/>
      </w:pPr>
      <w:rPr>
        <w:rFonts w:ascii="Symbol" w:hAnsi="Symbol"/>
      </w:rPr>
    </w:lvl>
    <w:lvl w:ilvl="2" w:tplc="24E85272">
      <w:numFmt w:val="bullet"/>
      <w:lvlText w:val=""/>
      <w:lvlJc w:val="left"/>
      <w:pPr>
        <w:ind w:left="2160" w:hanging="360"/>
      </w:pPr>
      <w:rPr>
        <w:rFonts w:ascii="Wingdings" w:hAnsi="Wingdings"/>
      </w:rPr>
    </w:lvl>
    <w:lvl w:ilvl="3" w:tplc="72BC2DCC">
      <w:numFmt w:val="bullet"/>
      <w:lvlText w:val=""/>
      <w:lvlJc w:val="left"/>
      <w:pPr>
        <w:ind w:left="2880" w:hanging="360"/>
      </w:pPr>
      <w:rPr>
        <w:rFonts w:ascii="Symbol" w:hAnsi="Symbol"/>
      </w:rPr>
    </w:lvl>
    <w:lvl w:ilvl="4" w:tplc="4EE89B46">
      <w:numFmt w:val="bullet"/>
      <w:lvlText w:val="o"/>
      <w:lvlJc w:val="left"/>
      <w:pPr>
        <w:ind w:left="3600" w:hanging="360"/>
      </w:pPr>
      <w:rPr>
        <w:rFonts w:ascii="Courier New" w:hAnsi="Courier New" w:cs="Courier New"/>
      </w:rPr>
    </w:lvl>
    <w:lvl w:ilvl="5" w:tplc="55806A72">
      <w:numFmt w:val="bullet"/>
      <w:lvlText w:val=""/>
      <w:lvlJc w:val="left"/>
      <w:pPr>
        <w:ind w:left="4320" w:hanging="360"/>
      </w:pPr>
      <w:rPr>
        <w:rFonts w:ascii="Wingdings" w:hAnsi="Wingdings"/>
      </w:rPr>
    </w:lvl>
    <w:lvl w:ilvl="6" w:tplc="1772F596">
      <w:numFmt w:val="bullet"/>
      <w:lvlText w:val=""/>
      <w:lvlJc w:val="left"/>
      <w:pPr>
        <w:ind w:left="5040" w:hanging="360"/>
      </w:pPr>
      <w:rPr>
        <w:rFonts w:ascii="Symbol" w:hAnsi="Symbol"/>
      </w:rPr>
    </w:lvl>
    <w:lvl w:ilvl="7" w:tplc="371C84B2">
      <w:numFmt w:val="bullet"/>
      <w:lvlText w:val="o"/>
      <w:lvlJc w:val="left"/>
      <w:pPr>
        <w:ind w:left="5760" w:hanging="360"/>
      </w:pPr>
      <w:rPr>
        <w:rFonts w:ascii="Courier New" w:hAnsi="Courier New" w:cs="Courier New"/>
      </w:rPr>
    </w:lvl>
    <w:lvl w:ilvl="8" w:tplc="3E6E6F84">
      <w:numFmt w:val="bullet"/>
      <w:lvlText w:val=""/>
      <w:lvlJc w:val="left"/>
      <w:pPr>
        <w:ind w:left="6480" w:hanging="360"/>
      </w:pPr>
      <w:rPr>
        <w:rFonts w:ascii="Wingdings" w:hAnsi="Wingdings"/>
      </w:rPr>
    </w:lvl>
  </w:abstractNum>
  <w:abstractNum w:abstractNumId="19" w15:restartNumberingAfterBreak="0">
    <w:nsid w:val="767B0BD7"/>
    <w:multiLevelType w:val="hybridMultilevel"/>
    <w:tmpl w:val="DDC8FE24"/>
    <w:lvl w:ilvl="0" w:tplc="4DFA0198">
      <w:start w:val="1"/>
      <w:numFmt w:val="bullet"/>
      <w:lvlText w:val=""/>
      <w:lvlJc w:val="left"/>
      <w:pPr>
        <w:ind w:left="720" w:hanging="360"/>
      </w:pPr>
      <w:rPr>
        <w:rFonts w:hint="default" w:ascii="Symbol" w:hAnsi="Symbol"/>
      </w:rPr>
    </w:lvl>
    <w:lvl w:ilvl="1" w:tplc="746A7210">
      <w:start w:val="1"/>
      <w:numFmt w:val="bullet"/>
      <w:lvlText w:val="o"/>
      <w:lvlJc w:val="left"/>
      <w:pPr>
        <w:ind w:left="1440" w:hanging="360"/>
      </w:pPr>
      <w:rPr>
        <w:rFonts w:hint="default" w:ascii="Courier New" w:hAnsi="Courier New"/>
      </w:rPr>
    </w:lvl>
    <w:lvl w:ilvl="2" w:tplc="3C76D13A">
      <w:start w:val="1"/>
      <w:numFmt w:val="bullet"/>
      <w:lvlText w:val=""/>
      <w:lvlJc w:val="left"/>
      <w:pPr>
        <w:ind w:left="2160" w:hanging="360"/>
      </w:pPr>
      <w:rPr>
        <w:rFonts w:hint="default" w:ascii="Wingdings" w:hAnsi="Wingdings"/>
      </w:rPr>
    </w:lvl>
    <w:lvl w:ilvl="3" w:tplc="597E8808">
      <w:start w:val="1"/>
      <w:numFmt w:val="bullet"/>
      <w:lvlText w:val=""/>
      <w:lvlJc w:val="left"/>
      <w:pPr>
        <w:ind w:left="2880" w:hanging="360"/>
      </w:pPr>
      <w:rPr>
        <w:rFonts w:hint="default" w:ascii="Symbol" w:hAnsi="Symbol"/>
      </w:rPr>
    </w:lvl>
    <w:lvl w:ilvl="4" w:tplc="3BC8D94C">
      <w:start w:val="1"/>
      <w:numFmt w:val="bullet"/>
      <w:lvlText w:val="o"/>
      <w:lvlJc w:val="left"/>
      <w:pPr>
        <w:ind w:left="3600" w:hanging="360"/>
      </w:pPr>
      <w:rPr>
        <w:rFonts w:hint="default" w:ascii="Courier New" w:hAnsi="Courier New"/>
      </w:rPr>
    </w:lvl>
    <w:lvl w:ilvl="5" w:tplc="D5EC5CD6">
      <w:start w:val="1"/>
      <w:numFmt w:val="bullet"/>
      <w:lvlText w:val=""/>
      <w:lvlJc w:val="left"/>
      <w:pPr>
        <w:ind w:left="4320" w:hanging="360"/>
      </w:pPr>
      <w:rPr>
        <w:rFonts w:hint="default" w:ascii="Wingdings" w:hAnsi="Wingdings"/>
      </w:rPr>
    </w:lvl>
    <w:lvl w:ilvl="6" w:tplc="0C06AC6E">
      <w:start w:val="1"/>
      <w:numFmt w:val="bullet"/>
      <w:lvlText w:val=""/>
      <w:lvlJc w:val="left"/>
      <w:pPr>
        <w:ind w:left="5040" w:hanging="360"/>
      </w:pPr>
      <w:rPr>
        <w:rFonts w:hint="default" w:ascii="Symbol" w:hAnsi="Symbol"/>
      </w:rPr>
    </w:lvl>
    <w:lvl w:ilvl="7" w:tplc="84CAD0C4">
      <w:start w:val="1"/>
      <w:numFmt w:val="bullet"/>
      <w:lvlText w:val="o"/>
      <w:lvlJc w:val="left"/>
      <w:pPr>
        <w:ind w:left="5760" w:hanging="360"/>
      </w:pPr>
      <w:rPr>
        <w:rFonts w:hint="default" w:ascii="Courier New" w:hAnsi="Courier New"/>
      </w:rPr>
    </w:lvl>
    <w:lvl w:ilvl="8" w:tplc="6A6081CC">
      <w:start w:val="1"/>
      <w:numFmt w:val="bullet"/>
      <w:lvlText w:val=""/>
      <w:lvlJc w:val="left"/>
      <w:pPr>
        <w:ind w:left="6480" w:hanging="360"/>
      </w:pPr>
      <w:rPr>
        <w:rFonts w:hint="default" w:ascii="Wingdings" w:hAnsi="Wingdings"/>
      </w:rPr>
    </w:lvl>
  </w:abstractNum>
  <w:num w:numId="1">
    <w:abstractNumId w:val="9"/>
  </w:num>
  <w:num w:numId="2">
    <w:abstractNumId w:val="12"/>
  </w:num>
  <w:num w:numId="3">
    <w:abstractNumId w:val="7"/>
  </w:num>
  <w:num w:numId="4">
    <w:abstractNumId w:val="6"/>
  </w:num>
  <w:num w:numId="5">
    <w:abstractNumId w:val="1"/>
  </w:num>
  <w:num w:numId="6">
    <w:abstractNumId w:val="11"/>
  </w:num>
  <w:num w:numId="7">
    <w:abstractNumId w:val="19"/>
  </w:num>
  <w:num w:numId="8">
    <w:abstractNumId w:val="4"/>
  </w:num>
  <w:num w:numId="9">
    <w:abstractNumId w:val="2"/>
  </w:num>
  <w:num w:numId="10">
    <w:abstractNumId w:val="5"/>
  </w:num>
  <w:num w:numId="11">
    <w:abstractNumId w:val="8"/>
  </w:num>
  <w:num w:numId="12">
    <w:abstractNumId w:val="0"/>
  </w:num>
  <w:num w:numId="13">
    <w:abstractNumId w:val="10"/>
  </w:num>
  <w:num w:numId="14">
    <w:abstractNumId w:val="13"/>
  </w:num>
  <w:num w:numId="15">
    <w:abstractNumId w:val="18"/>
  </w:num>
  <w:num w:numId="16">
    <w:abstractNumId w:val="15"/>
  </w:num>
  <w:num w:numId="17">
    <w:abstractNumId w:val="14"/>
  </w:num>
  <w:num w:numId="18">
    <w:abstractNumId w:val="3"/>
  </w:num>
  <w:num w:numId="19">
    <w:abstractNumId w:val="16"/>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73A6"/>
    <w:rsid w:val="000205E2"/>
    <w:rsid w:val="00051BB8"/>
    <w:rsid w:val="000561D6"/>
    <w:rsid w:val="00064EFA"/>
    <w:rsid w:val="00066B73"/>
    <w:rsid w:val="00092965"/>
    <w:rsid w:val="000B07D8"/>
    <w:rsid w:val="000CD097"/>
    <w:rsid w:val="0010336B"/>
    <w:rsid w:val="00120AB1"/>
    <w:rsid w:val="0019014B"/>
    <w:rsid w:val="001F6151"/>
    <w:rsid w:val="00250799"/>
    <w:rsid w:val="00251560"/>
    <w:rsid w:val="00252987"/>
    <w:rsid w:val="00313FA2"/>
    <w:rsid w:val="004044AA"/>
    <w:rsid w:val="004311BE"/>
    <w:rsid w:val="00459A0A"/>
    <w:rsid w:val="00464B34"/>
    <w:rsid w:val="00496EF0"/>
    <w:rsid w:val="004DE232"/>
    <w:rsid w:val="005961F8"/>
    <w:rsid w:val="006A7B49"/>
    <w:rsid w:val="006B43D9"/>
    <w:rsid w:val="006E7FB1"/>
    <w:rsid w:val="00741B9E"/>
    <w:rsid w:val="007C2F04"/>
    <w:rsid w:val="00867F63"/>
    <w:rsid w:val="00894016"/>
    <w:rsid w:val="009717C8"/>
    <w:rsid w:val="009725A7"/>
    <w:rsid w:val="009D71E8"/>
    <w:rsid w:val="009E50E3"/>
    <w:rsid w:val="00A14B32"/>
    <w:rsid w:val="00A7142E"/>
    <w:rsid w:val="00A76F8A"/>
    <w:rsid w:val="00AC693D"/>
    <w:rsid w:val="00B01295"/>
    <w:rsid w:val="00BA68E7"/>
    <w:rsid w:val="00C9B79E"/>
    <w:rsid w:val="00CD78E9"/>
    <w:rsid w:val="00D219F3"/>
    <w:rsid w:val="00D33FE5"/>
    <w:rsid w:val="00D53D6E"/>
    <w:rsid w:val="00D8528A"/>
    <w:rsid w:val="00E53C8F"/>
    <w:rsid w:val="00E66558"/>
    <w:rsid w:val="00E721AC"/>
    <w:rsid w:val="00F17B4C"/>
    <w:rsid w:val="00F75A61"/>
    <w:rsid w:val="00FC162E"/>
    <w:rsid w:val="00FF2815"/>
    <w:rsid w:val="0100684D"/>
    <w:rsid w:val="010426F3"/>
    <w:rsid w:val="012A8242"/>
    <w:rsid w:val="012C574E"/>
    <w:rsid w:val="012CCC01"/>
    <w:rsid w:val="015B11A0"/>
    <w:rsid w:val="01AE93AE"/>
    <w:rsid w:val="01CDF458"/>
    <w:rsid w:val="01FA1FE9"/>
    <w:rsid w:val="0222CAA1"/>
    <w:rsid w:val="023B1442"/>
    <w:rsid w:val="02DCDD08"/>
    <w:rsid w:val="0357DEB5"/>
    <w:rsid w:val="0371037C"/>
    <w:rsid w:val="038A21F8"/>
    <w:rsid w:val="03C184CE"/>
    <w:rsid w:val="0400EA14"/>
    <w:rsid w:val="0405325F"/>
    <w:rsid w:val="04110939"/>
    <w:rsid w:val="041BB402"/>
    <w:rsid w:val="041E4228"/>
    <w:rsid w:val="04347C01"/>
    <w:rsid w:val="048682D3"/>
    <w:rsid w:val="04FE2455"/>
    <w:rsid w:val="05DD01AF"/>
    <w:rsid w:val="05E2748D"/>
    <w:rsid w:val="05ECFE4F"/>
    <w:rsid w:val="05FEECD5"/>
    <w:rsid w:val="060B6594"/>
    <w:rsid w:val="06379773"/>
    <w:rsid w:val="064E92D6"/>
    <w:rsid w:val="0677689D"/>
    <w:rsid w:val="068AACDD"/>
    <w:rsid w:val="06BFEE3E"/>
    <w:rsid w:val="074C5DF3"/>
    <w:rsid w:val="077907E4"/>
    <w:rsid w:val="07893586"/>
    <w:rsid w:val="078B88D1"/>
    <w:rsid w:val="078D8031"/>
    <w:rsid w:val="085EA9D9"/>
    <w:rsid w:val="086EF474"/>
    <w:rsid w:val="089D74A7"/>
    <w:rsid w:val="08FCDB12"/>
    <w:rsid w:val="0900AE3F"/>
    <w:rsid w:val="09368D97"/>
    <w:rsid w:val="094749BF"/>
    <w:rsid w:val="09517F8A"/>
    <w:rsid w:val="095B0DD1"/>
    <w:rsid w:val="0969F81D"/>
    <w:rsid w:val="097FC056"/>
    <w:rsid w:val="09A39742"/>
    <w:rsid w:val="09E94547"/>
    <w:rsid w:val="0A3B0FB1"/>
    <w:rsid w:val="0A5C928D"/>
    <w:rsid w:val="0A5E8011"/>
    <w:rsid w:val="0AC35F83"/>
    <w:rsid w:val="0B4FB420"/>
    <w:rsid w:val="0B76600B"/>
    <w:rsid w:val="0BA7113A"/>
    <w:rsid w:val="0BB14EAC"/>
    <w:rsid w:val="0BB6E3DC"/>
    <w:rsid w:val="0BD4A63A"/>
    <w:rsid w:val="0BD8C979"/>
    <w:rsid w:val="0C5456C6"/>
    <w:rsid w:val="0C6C698D"/>
    <w:rsid w:val="0C71A4EA"/>
    <w:rsid w:val="0C7A03FB"/>
    <w:rsid w:val="0C7AAE6B"/>
    <w:rsid w:val="0CE558A9"/>
    <w:rsid w:val="0CEAA3BE"/>
    <w:rsid w:val="0D04C05A"/>
    <w:rsid w:val="0D5193D3"/>
    <w:rsid w:val="0D6DDF2D"/>
    <w:rsid w:val="0D99C141"/>
    <w:rsid w:val="0DA0AEFE"/>
    <w:rsid w:val="0DA6CF82"/>
    <w:rsid w:val="0DE24592"/>
    <w:rsid w:val="0E03B14E"/>
    <w:rsid w:val="0E1DF7D0"/>
    <w:rsid w:val="0E314E71"/>
    <w:rsid w:val="0E479503"/>
    <w:rsid w:val="0E534705"/>
    <w:rsid w:val="0E58A906"/>
    <w:rsid w:val="0E6F182D"/>
    <w:rsid w:val="0EB07A2F"/>
    <w:rsid w:val="0ECC4D91"/>
    <w:rsid w:val="0EE7B5E6"/>
    <w:rsid w:val="0EE8EF6E"/>
    <w:rsid w:val="0F17E0FF"/>
    <w:rsid w:val="0F1A68BD"/>
    <w:rsid w:val="0F6744A3"/>
    <w:rsid w:val="0F9A5460"/>
    <w:rsid w:val="1030DC87"/>
    <w:rsid w:val="105B9E34"/>
    <w:rsid w:val="105C2A8E"/>
    <w:rsid w:val="1084BFCF"/>
    <w:rsid w:val="10BBC835"/>
    <w:rsid w:val="10DC7F75"/>
    <w:rsid w:val="10DD2C58"/>
    <w:rsid w:val="10ED0316"/>
    <w:rsid w:val="10F56C97"/>
    <w:rsid w:val="11269678"/>
    <w:rsid w:val="1191C2F9"/>
    <w:rsid w:val="11BB2DBB"/>
    <w:rsid w:val="1277C1C3"/>
    <w:rsid w:val="12822652"/>
    <w:rsid w:val="12E2AF72"/>
    <w:rsid w:val="12FD2A96"/>
    <w:rsid w:val="13618859"/>
    <w:rsid w:val="13D39486"/>
    <w:rsid w:val="13F5A32F"/>
    <w:rsid w:val="1431776E"/>
    <w:rsid w:val="143B0019"/>
    <w:rsid w:val="145D0A44"/>
    <w:rsid w:val="145F68AB"/>
    <w:rsid w:val="14729A67"/>
    <w:rsid w:val="1489368A"/>
    <w:rsid w:val="148D3D05"/>
    <w:rsid w:val="1495B22F"/>
    <w:rsid w:val="14E8C10D"/>
    <w:rsid w:val="15A09B40"/>
    <w:rsid w:val="15B9C39D"/>
    <w:rsid w:val="15BCA932"/>
    <w:rsid w:val="15D9DCC5"/>
    <w:rsid w:val="1647272D"/>
    <w:rsid w:val="165D9CB0"/>
    <w:rsid w:val="16ADA450"/>
    <w:rsid w:val="16B29CE1"/>
    <w:rsid w:val="16D620BB"/>
    <w:rsid w:val="16F225B8"/>
    <w:rsid w:val="173C6BA1"/>
    <w:rsid w:val="174AB3E7"/>
    <w:rsid w:val="176EB91B"/>
    <w:rsid w:val="17861300"/>
    <w:rsid w:val="1792FA01"/>
    <w:rsid w:val="17F0CF8D"/>
    <w:rsid w:val="17FD0261"/>
    <w:rsid w:val="18803D77"/>
    <w:rsid w:val="18AA24D9"/>
    <w:rsid w:val="18B6BB37"/>
    <w:rsid w:val="18C7E953"/>
    <w:rsid w:val="18D51342"/>
    <w:rsid w:val="192193A7"/>
    <w:rsid w:val="193F6F6E"/>
    <w:rsid w:val="19400711"/>
    <w:rsid w:val="1976D50E"/>
    <w:rsid w:val="1986BB67"/>
    <w:rsid w:val="19A8C3D9"/>
    <w:rsid w:val="19CC1211"/>
    <w:rsid w:val="1A0198FD"/>
    <w:rsid w:val="1A18FBD4"/>
    <w:rsid w:val="1A4AE9ED"/>
    <w:rsid w:val="1A4C11E3"/>
    <w:rsid w:val="1A5C56FF"/>
    <w:rsid w:val="1A70E3A3"/>
    <w:rsid w:val="1A740C63"/>
    <w:rsid w:val="1A81F73C"/>
    <w:rsid w:val="1AC803F4"/>
    <w:rsid w:val="1ACD69AA"/>
    <w:rsid w:val="1AE04E80"/>
    <w:rsid w:val="1AE547E6"/>
    <w:rsid w:val="1B0CEFAE"/>
    <w:rsid w:val="1B17644D"/>
    <w:rsid w:val="1B32F69F"/>
    <w:rsid w:val="1B378250"/>
    <w:rsid w:val="1B78DE40"/>
    <w:rsid w:val="1BB22188"/>
    <w:rsid w:val="1BC8E921"/>
    <w:rsid w:val="1BD0FB6F"/>
    <w:rsid w:val="1C9086AB"/>
    <w:rsid w:val="1CADA46B"/>
    <w:rsid w:val="1CAE8D31"/>
    <w:rsid w:val="1CBFADED"/>
    <w:rsid w:val="1CDFB366"/>
    <w:rsid w:val="1D4A1A7A"/>
    <w:rsid w:val="1D9F64CD"/>
    <w:rsid w:val="1DAE92BA"/>
    <w:rsid w:val="1DD271C5"/>
    <w:rsid w:val="1DDB1E34"/>
    <w:rsid w:val="1E3C198B"/>
    <w:rsid w:val="1E81C397"/>
    <w:rsid w:val="1E98A165"/>
    <w:rsid w:val="1E9DF71C"/>
    <w:rsid w:val="1F450C81"/>
    <w:rsid w:val="1FCBC137"/>
    <w:rsid w:val="1FCFD52B"/>
    <w:rsid w:val="1FD6C813"/>
    <w:rsid w:val="1FF74AF1"/>
    <w:rsid w:val="1FFF5273"/>
    <w:rsid w:val="2034D7C2"/>
    <w:rsid w:val="2091D69C"/>
    <w:rsid w:val="210439FF"/>
    <w:rsid w:val="2110523E"/>
    <w:rsid w:val="2117CEDC"/>
    <w:rsid w:val="2125CD8D"/>
    <w:rsid w:val="21298174"/>
    <w:rsid w:val="213458A8"/>
    <w:rsid w:val="21358D9F"/>
    <w:rsid w:val="21403B03"/>
    <w:rsid w:val="21931B52"/>
    <w:rsid w:val="21FE21A5"/>
    <w:rsid w:val="22CD9B98"/>
    <w:rsid w:val="22E91F32"/>
    <w:rsid w:val="230BD57C"/>
    <w:rsid w:val="23ABCC57"/>
    <w:rsid w:val="23ABED77"/>
    <w:rsid w:val="23B0FD07"/>
    <w:rsid w:val="23DED5CF"/>
    <w:rsid w:val="23E6B53C"/>
    <w:rsid w:val="243C3F68"/>
    <w:rsid w:val="2475EC67"/>
    <w:rsid w:val="249B72A3"/>
    <w:rsid w:val="24DB55FB"/>
    <w:rsid w:val="24F7354C"/>
    <w:rsid w:val="2506880D"/>
    <w:rsid w:val="2534C666"/>
    <w:rsid w:val="2559BD4B"/>
    <w:rsid w:val="2590DA95"/>
    <w:rsid w:val="259F98EC"/>
    <w:rsid w:val="25B39366"/>
    <w:rsid w:val="25B7E5ED"/>
    <w:rsid w:val="25D8BE3A"/>
    <w:rsid w:val="25E9E3AA"/>
    <w:rsid w:val="260E6172"/>
    <w:rsid w:val="2621F267"/>
    <w:rsid w:val="262F8A87"/>
    <w:rsid w:val="2665FB68"/>
    <w:rsid w:val="266907E2"/>
    <w:rsid w:val="268B1F3D"/>
    <w:rsid w:val="269811DD"/>
    <w:rsid w:val="26B62B72"/>
    <w:rsid w:val="26B89BED"/>
    <w:rsid w:val="271E294C"/>
    <w:rsid w:val="2761AEA8"/>
    <w:rsid w:val="2772EB33"/>
    <w:rsid w:val="27782C1F"/>
    <w:rsid w:val="27875BDC"/>
    <w:rsid w:val="279C3257"/>
    <w:rsid w:val="27AECA2D"/>
    <w:rsid w:val="27BCBDAA"/>
    <w:rsid w:val="2823FA8F"/>
    <w:rsid w:val="28519B07"/>
    <w:rsid w:val="285F5C62"/>
    <w:rsid w:val="28DC6CB1"/>
    <w:rsid w:val="29085C0F"/>
    <w:rsid w:val="292CF7E6"/>
    <w:rsid w:val="296E64C1"/>
    <w:rsid w:val="29725570"/>
    <w:rsid w:val="29967223"/>
    <w:rsid w:val="29B8A7B3"/>
    <w:rsid w:val="29C4CDA6"/>
    <w:rsid w:val="29D8DEC7"/>
    <w:rsid w:val="29FBA45E"/>
    <w:rsid w:val="2A014085"/>
    <w:rsid w:val="2AD51DF4"/>
    <w:rsid w:val="2AFEBFBA"/>
    <w:rsid w:val="2B0AA0B2"/>
    <w:rsid w:val="2B2037E4"/>
    <w:rsid w:val="2B51D1DC"/>
    <w:rsid w:val="2B9A2378"/>
    <w:rsid w:val="2BBF688F"/>
    <w:rsid w:val="2C136AF7"/>
    <w:rsid w:val="2C226C94"/>
    <w:rsid w:val="2C3FFCD1"/>
    <w:rsid w:val="2C42ECAC"/>
    <w:rsid w:val="2C4DCFDC"/>
    <w:rsid w:val="2C72CF75"/>
    <w:rsid w:val="2C907A06"/>
    <w:rsid w:val="2CB1A4E5"/>
    <w:rsid w:val="2CDE1D54"/>
    <w:rsid w:val="2CEB3F48"/>
    <w:rsid w:val="2CF04875"/>
    <w:rsid w:val="2D1B55DC"/>
    <w:rsid w:val="2D35F3D9"/>
    <w:rsid w:val="2D983125"/>
    <w:rsid w:val="2DB186A8"/>
    <w:rsid w:val="2DE599FD"/>
    <w:rsid w:val="2DF4F58F"/>
    <w:rsid w:val="2E23540E"/>
    <w:rsid w:val="2E5B6F13"/>
    <w:rsid w:val="2E68D376"/>
    <w:rsid w:val="2E8C18D6"/>
    <w:rsid w:val="2EA6B758"/>
    <w:rsid w:val="2EDCA50A"/>
    <w:rsid w:val="2F31FA3F"/>
    <w:rsid w:val="2F49DAA7"/>
    <w:rsid w:val="2F5B3BBE"/>
    <w:rsid w:val="2F6128F5"/>
    <w:rsid w:val="2F90C5F0"/>
    <w:rsid w:val="2FBD4470"/>
    <w:rsid w:val="2FEAB7D9"/>
    <w:rsid w:val="306BE936"/>
    <w:rsid w:val="309B35D8"/>
    <w:rsid w:val="30E3497D"/>
    <w:rsid w:val="3141618E"/>
    <w:rsid w:val="31727BAC"/>
    <w:rsid w:val="31ACF7F7"/>
    <w:rsid w:val="31C368E8"/>
    <w:rsid w:val="31D40C47"/>
    <w:rsid w:val="31F01A39"/>
    <w:rsid w:val="31F0DA8A"/>
    <w:rsid w:val="31FF7E7E"/>
    <w:rsid w:val="320659C1"/>
    <w:rsid w:val="320964FC"/>
    <w:rsid w:val="322C610F"/>
    <w:rsid w:val="325A93AB"/>
    <w:rsid w:val="3268BB22"/>
    <w:rsid w:val="329A4A38"/>
    <w:rsid w:val="32AF3E55"/>
    <w:rsid w:val="32C763FA"/>
    <w:rsid w:val="32F6980D"/>
    <w:rsid w:val="331DD97F"/>
    <w:rsid w:val="331E7D5C"/>
    <w:rsid w:val="334802C0"/>
    <w:rsid w:val="337817FB"/>
    <w:rsid w:val="33825F0B"/>
    <w:rsid w:val="33C26D24"/>
    <w:rsid w:val="33DB2A51"/>
    <w:rsid w:val="33F08E6F"/>
    <w:rsid w:val="340F343D"/>
    <w:rsid w:val="345A7029"/>
    <w:rsid w:val="345D36E4"/>
    <w:rsid w:val="34632D94"/>
    <w:rsid w:val="3474440A"/>
    <w:rsid w:val="349FE3C3"/>
    <w:rsid w:val="3507DE7B"/>
    <w:rsid w:val="35116C28"/>
    <w:rsid w:val="352B042C"/>
    <w:rsid w:val="3536E38C"/>
    <w:rsid w:val="3571D9AD"/>
    <w:rsid w:val="3578B509"/>
    <w:rsid w:val="35962D25"/>
    <w:rsid w:val="359EEAF2"/>
    <w:rsid w:val="35BCE401"/>
    <w:rsid w:val="35C1D222"/>
    <w:rsid w:val="35C5DEDE"/>
    <w:rsid w:val="35DC5E82"/>
    <w:rsid w:val="35F90745"/>
    <w:rsid w:val="35FCD6D2"/>
    <w:rsid w:val="36A77D6A"/>
    <w:rsid w:val="36DB2ABA"/>
    <w:rsid w:val="372A6092"/>
    <w:rsid w:val="3761AF3F"/>
    <w:rsid w:val="37DF590C"/>
    <w:rsid w:val="385F3A46"/>
    <w:rsid w:val="38737C7C"/>
    <w:rsid w:val="38891809"/>
    <w:rsid w:val="38AD446F"/>
    <w:rsid w:val="38DFF7E5"/>
    <w:rsid w:val="38E27778"/>
    <w:rsid w:val="38F370EC"/>
    <w:rsid w:val="393C83EB"/>
    <w:rsid w:val="394311CE"/>
    <w:rsid w:val="3949D71F"/>
    <w:rsid w:val="395642B1"/>
    <w:rsid w:val="3973F2A6"/>
    <w:rsid w:val="3A18F6BA"/>
    <w:rsid w:val="3A206B0F"/>
    <w:rsid w:val="3A2C7FBE"/>
    <w:rsid w:val="3A519D98"/>
    <w:rsid w:val="3A648EDB"/>
    <w:rsid w:val="3AAD83D2"/>
    <w:rsid w:val="3ACC7868"/>
    <w:rsid w:val="3B00DA15"/>
    <w:rsid w:val="3B3E09BF"/>
    <w:rsid w:val="3B9E0614"/>
    <w:rsid w:val="3BE40B7B"/>
    <w:rsid w:val="3C09E109"/>
    <w:rsid w:val="3C5B9B19"/>
    <w:rsid w:val="3C6848C9"/>
    <w:rsid w:val="3C8177E1"/>
    <w:rsid w:val="3C925AF3"/>
    <w:rsid w:val="3C94C64A"/>
    <w:rsid w:val="3CB3EB51"/>
    <w:rsid w:val="3CBB589B"/>
    <w:rsid w:val="3D3143E1"/>
    <w:rsid w:val="3D81E130"/>
    <w:rsid w:val="3DA42E4C"/>
    <w:rsid w:val="3DB70A95"/>
    <w:rsid w:val="3DDC6A1E"/>
    <w:rsid w:val="3DDDB046"/>
    <w:rsid w:val="3E16A7FC"/>
    <w:rsid w:val="3E234752"/>
    <w:rsid w:val="3E318548"/>
    <w:rsid w:val="3E479CE5"/>
    <w:rsid w:val="3E9C06BC"/>
    <w:rsid w:val="3EDE04B8"/>
    <w:rsid w:val="3EE72964"/>
    <w:rsid w:val="3EF84EF5"/>
    <w:rsid w:val="3F11C903"/>
    <w:rsid w:val="3F3B7246"/>
    <w:rsid w:val="3F433614"/>
    <w:rsid w:val="3F6D457D"/>
    <w:rsid w:val="3FB79202"/>
    <w:rsid w:val="3FBF775F"/>
    <w:rsid w:val="3FCD5494"/>
    <w:rsid w:val="3FD68242"/>
    <w:rsid w:val="40013AB0"/>
    <w:rsid w:val="40402BF6"/>
    <w:rsid w:val="404BC3D3"/>
    <w:rsid w:val="41124A28"/>
    <w:rsid w:val="412D322C"/>
    <w:rsid w:val="41839812"/>
    <w:rsid w:val="41F34C5A"/>
    <w:rsid w:val="41FE2181"/>
    <w:rsid w:val="4215F6B1"/>
    <w:rsid w:val="42173E6C"/>
    <w:rsid w:val="421A33EB"/>
    <w:rsid w:val="424B6F35"/>
    <w:rsid w:val="4261A560"/>
    <w:rsid w:val="42713E26"/>
    <w:rsid w:val="42A4DD04"/>
    <w:rsid w:val="42DAD6BA"/>
    <w:rsid w:val="42EC667D"/>
    <w:rsid w:val="4304469F"/>
    <w:rsid w:val="4327E3EF"/>
    <w:rsid w:val="4343E156"/>
    <w:rsid w:val="43676D7C"/>
    <w:rsid w:val="44187CF3"/>
    <w:rsid w:val="444FF7A9"/>
    <w:rsid w:val="44692006"/>
    <w:rsid w:val="44697646"/>
    <w:rsid w:val="44725787"/>
    <w:rsid w:val="4475919E"/>
    <w:rsid w:val="447D3E60"/>
    <w:rsid w:val="4480E92D"/>
    <w:rsid w:val="44999EA6"/>
    <w:rsid w:val="44A53A4B"/>
    <w:rsid w:val="44E19079"/>
    <w:rsid w:val="44ECF6B0"/>
    <w:rsid w:val="450EA60B"/>
    <w:rsid w:val="45628586"/>
    <w:rsid w:val="4587B6A6"/>
    <w:rsid w:val="4597E64C"/>
    <w:rsid w:val="45DB69D1"/>
    <w:rsid w:val="4607EA0C"/>
    <w:rsid w:val="46118AB8"/>
    <w:rsid w:val="461BED57"/>
    <w:rsid w:val="4620E391"/>
    <w:rsid w:val="46478F9D"/>
    <w:rsid w:val="46763454"/>
    <w:rsid w:val="468A85EE"/>
    <w:rsid w:val="46A07DC4"/>
    <w:rsid w:val="46F412F3"/>
    <w:rsid w:val="4766FE40"/>
    <w:rsid w:val="4779F71D"/>
    <w:rsid w:val="47A32C4D"/>
    <w:rsid w:val="47B76DBD"/>
    <w:rsid w:val="47FBFB65"/>
    <w:rsid w:val="482A2FA4"/>
    <w:rsid w:val="4857B59E"/>
    <w:rsid w:val="48D3DA95"/>
    <w:rsid w:val="48E1909B"/>
    <w:rsid w:val="48F60380"/>
    <w:rsid w:val="48FE981F"/>
    <w:rsid w:val="490641DB"/>
    <w:rsid w:val="49064F86"/>
    <w:rsid w:val="490B7368"/>
    <w:rsid w:val="494E3BF7"/>
    <w:rsid w:val="4957A250"/>
    <w:rsid w:val="496333E1"/>
    <w:rsid w:val="4966B485"/>
    <w:rsid w:val="4984BA8F"/>
    <w:rsid w:val="498DAC89"/>
    <w:rsid w:val="49B83A24"/>
    <w:rsid w:val="49CB75A3"/>
    <w:rsid w:val="49D0EF1E"/>
    <w:rsid w:val="4A001511"/>
    <w:rsid w:val="4A30541C"/>
    <w:rsid w:val="4A5BC90D"/>
    <w:rsid w:val="4A67A36D"/>
    <w:rsid w:val="4A79A13A"/>
    <w:rsid w:val="4A955DC5"/>
    <w:rsid w:val="4AC2105A"/>
    <w:rsid w:val="4AC5852E"/>
    <w:rsid w:val="4B2B343F"/>
    <w:rsid w:val="4B721BAE"/>
    <w:rsid w:val="4B7910DD"/>
    <w:rsid w:val="4B8A0E61"/>
    <w:rsid w:val="4B8E94DE"/>
    <w:rsid w:val="4B8F88EF"/>
    <w:rsid w:val="4BC436F7"/>
    <w:rsid w:val="4BE08342"/>
    <w:rsid w:val="4C07AFE4"/>
    <w:rsid w:val="4C26015F"/>
    <w:rsid w:val="4C36AE39"/>
    <w:rsid w:val="4C37B04A"/>
    <w:rsid w:val="4C44EB1D"/>
    <w:rsid w:val="4C518145"/>
    <w:rsid w:val="4C685CEF"/>
    <w:rsid w:val="4CF7D193"/>
    <w:rsid w:val="4D25754D"/>
    <w:rsid w:val="4D25DEC2"/>
    <w:rsid w:val="4D90F5B9"/>
    <w:rsid w:val="4DE4A167"/>
    <w:rsid w:val="4DFE73E9"/>
    <w:rsid w:val="4E3B2A9E"/>
    <w:rsid w:val="4E584852"/>
    <w:rsid w:val="4E7A1DE6"/>
    <w:rsid w:val="4EAAE93A"/>
    <w:rsid w:val="4EAEB961"/>
    <w:rsid w:val="4EE67475"/>
    <w:rsid w:val="4EF6B158"/>
    <w:rsid w:val="4F6DED72"/>
    <w:rsid w:val="4FB13888"/>
    <w:rsid w:val="4FD59B29"/>
    <w:rsid w:val="500CFCAE"/>
    <w:rsid w:val="50421B87"/>
    <w:rsid w:val="50489E3C"/>
    <w:rsid w:val="506F5695"/>
    <w:rsid w:val="5086588B"/>
    <w:rsid w:val="511526F4"/>
    <w:rsid w:val="51574EC3"/>
    <w:rsid w:val="516A484D"/>
    <w:rsid w:val="51716B8A"/>
    <w:rsid w:val="51C399C7"/>
    <w:rsid w:val="51C80107"/>
    <w:rsid w:val="51E0012F"/>
    <w:rsid w:val="5241FCFE"/>
    <w:rsid w:val="52563D82"/>
    <w:rsid w:val="52575FC7"/>
    <w:rsid w:val="52652E7D"/>
    <w:rsid w:val="52DC1554"/>
    <w:rsid w:val="5312427D"/>
    <w:rsid w:val="5339FC18"/>
    <w:rsid w:val="5342B66C"/>
    <w:rsid w:val="536E2E37"/>
    <w:rsid w:val="53708AF8"/>
    <w:rsid w:val="5391A47B"/>
    <w:rsid w:val="53B8ED07"/>
    <w:rsid w:val="53C3BE02"/>
    <w:rsid w:val="53F49AE1"/>
    <w:rsid w:val="541449A2"/>
    <w:rsid w:val="54149D5C"/>
    <w:rsid w:val="54640902"/>
    <w:rsid w:val="548B51CA"/>
    <w:rsid w:val="549087AD"/>
    <w:rsid w:val="549A0F70"/>
    <w:rsid w:val="54A90C4C"/>
    <w:rsid w:val="54CF7A68"/>
    <w:rsid w:val="54DC9079"/>
    <w:rsid w:val="54E78DFF"/>
    <w:rsid w:val="54FFA1C9"/>
    <w:rsid w:val="55074CD4"/>
    <w:rsid w:val="552A1C78"/>
    <w:rsid w:val="5544C89D"/>
    <w:rsid w:val="556DFED2"/>
    <w:rsid w:val="55721930"/>
    <w:rsid w:val="55845FE6"/>
    <w:rsid w:val="558ACFEA"/>
    <w:rsid w:val="559FDA7A"/>
    <w:rsid w:val="55EC19FB"/>
    <w:rsid w:val="561D083F"/>
    <w:rsid w:val="562A0BD4"/>
    <w:rsid w:val="562CDD7F"/>
    <w:rsid w:val="5675C9BB"/>
    <w:rsid w:val="56A49C39"/>
    <w:rsid w:val="56E98B6B"/>
    <w:rsid w:val="56EC0AC1"/>
    <w:rsid w:val="5726A04B"/>
    <w:rsid w:val="57446DF2"/>
    <w:rsid w:val="575261E7"/>
    <w:rsid w:val="57C24E2A"/>
    <w:rsid w:val="57E89A94"/>
    <w:rsid w:val="57FC6A91"/>
    <w:rsid w:val="5808BF1E"/>
    <w:rsid w:val="5816198B"/>
    <w:rsid w:val="58492B09"/>
    <w:rsid w:val="588F105A"/>
    <w:rsid w:val="58AAA785"/>
    <w:rsid w:val="58DAD53B"/>
    <w:rsid w:val="5905BBE3"/>
    <w:rsid w:val="59244CAD"/>
    <w:rsid w:val="593CC19F"/>
    <w:rsid w:val="594CF293"/>
    <w:rsid w:val="595AF950"/>
    <w:rsid w:val="596AD66A"/>
    <w:rsid w:val="59738A22"/>
    <w:rsid w:val="59798E80"/>
    <w:rsid w:val="597E3F84"/>
    <w:rsid w:val="59937AD3"/>
    <w:rsid w:val="5A102898"/>
    <w:rsid w:val="5A433739"/>
    <w:rsid w:val="5A43D784"/>
    <w:rsid w:val="5A44843D"/>
    <w:rsid w:val="5A63323A"/>
    <w:rsid w:val="5A7B075B"/>
    <w:rsid w:val="5A7C0EB4"/>
    <w:rsid w:val="5A8E7BCD"/>
    <w:rsid w:val="5B6618D9"/>
    <w:rsid w:val="5BB2B962"/>
    <w:rsid w:val="5BB76B7A"/>
    <w:rsid w:val="5BDAF2E1"/>
    <w:rsid w:val="5BFCB45E"/>
    <w:rsid w:val="5C0A2375"/>
    <w:rsid w:val="5C7AA668"/>
    <w:rsid w:val="5CE50B3F"/>
    <w:rsid w:val="5D06BD57"/>
    <w:rsid w:val="5D586171"/>
    <w:rsid w:val="5D9707A2"/>
    <w:rsid w:val="5DAC4A03"/>
    <w:rsid w:val="5DC199DF"/>
    <w:rsid w:val="5DD73B43"/>
    <w:rsid w:val="5E511C66"/>
    <w:rsid w:val="5E6B2D28"/>
    <w:rsid w:val="5E80DBA0"/>
    <w:rsid w:val="5EA77269"/>
    <w:rsid w:val="5EC02DB6"/>
    <w:rsid w:val="5F060B46"/>
    <w:rsid w:val="5F5D6A40"/>
    <w:rsid w:val="5F5F432F"/>
    <w:rsid w:val="5F626272"/>
    <w:rsid w:val="5F7225E7"/>
    <w:rsid w:val="5F845216"/>
    <w:rsid w:val="5FC8BBCC"/>
    <w:rsid w:val="5FDCEA59"/>
    <w:rsid w:val="6051AB7A"/>
    <w:rsid w:val="6086C4E6"/>
    <w:rsid w:val="609E0682"/>
    <w:rsid w:val="60E0E1BC"/>
    <w:rsid w:val="60EA052C"/>
    <w:rsid w:val="60F93AA1"/>
    <w:rsid w:val="610E8261"/>
    <w:rsid w:val="611A54B8"/>
    <w:rsid w:val="61701AFE"/>
    <w:rsid w:val="618A3F9A"/>
    <w:rsid w:val="6197A23C"/>
    <w:rsid w:val="62369DD4"/>
    <w:rsid w:val="6238616E"/>
    <w:rsid w:val="6243C492"/>
    <w:rsid w:val="6261D9BE"/>
    <w:rsid w:val="62702446"/>
    <w:rsid w:val="62950B02"/>
    <w:rsid w:val="62987641"/>
    <w:rsid w:val="62F579AE"/>
    <w:rsid w:val="631AD198"/>
    <w:rsid w:val="635165AE"/>
    <w:rsid w:val="638C84FF"/>
    <w:rsid w:val="63C21FD2"/>
    <w:rsid w:val="63D57156"/>
    <w:rsid w:val="6403A624"/>
    <w:rsid w:val="640BF4A7"/>
    <w:rsid w:val="64155430"/>
    <w:rsid w:val="6430DB63"/>
    <w:rsid w:val="64394D69"/>
    <w:rsid w:val="643BF4CF"/>
    <w:rsid w:val="644ACC72"/>
    <w:rsid w:val="64631649"/>
    <w:rsid w:val="64B47740"/>
    <w:rsid w:val="650DF0D6"/>
    <w:rsid w:val="6520FCAD"/>
    <w:rsid w:val="6589B1F8"/>
    <w:rsid w:val="65B03FE4"/>
    <w:rsid w:val="65B12491"/>
    <w:rsid w:val="65FB0426"/>
    <w:rsid w:val="6606163E"/>
    <w:rsid w:val="66177826"/>
    <w:rsid w:val="661BC157"/>
    <w:rsid w:val="66252B41"/>
    <w:rsid w:val="662E1C8D"/>
    <w:rsid w:val="663E8B5C"/>
    <w:rsid w:val="6683AF68"/>
    <w:rsid w:val="66BDA205"/>
    <w:rsid w:val="66DDE5D0"/>
    <w:rsid w:val="66FC77B3"/>
    <w:rsid w:val="66FD2442"/>
    <w:rsid w:val="66FF1B21"/>
    <w:rsid w:val="67239BB8"/>
    <w:rsid w:val="672A39A1"/>
    <w:rsid w:val="674EC36A"/>
    <w:rsid w:val="675C0BDA"/>
    <w:rsid w:val="675D7A52"/>
    <w:rsid w:val="67627F42"/>
    <w:rsid w:val="67906CA0"/>
    <w:rsid w:val="67B35682"/>
    <w:rsid w:val="67E84FA2"/>
    <w:rsid w:val="67FEBE5E"/>
    <w:rsid w:val="68502B7A"/>
    <w:rsid w:val="68597266"/>
    <w:rsid w:val="685D86C4"/>
    <w:rsid w:val="6891B394"/>
    <w:rsid w:val="68948E21"/>
    <w:rsid w:val="68BF6C19"/>
    <w:rsid w:val="68D4EBD6"/>
    <w:rsid w:val="68FF5662"/>
    <w:rsid w:val="693EC639"/>
    <w:rsid w:val="69762C1E"/>
    <w:rsid w:val="698167FC"/>
    <w:rsid w:val="69AB9C90"/>
    <w:rsid w:val="69B09991"/>
    <w:rsid w:val="69B9DB54"/>
    <w:rsid w:val="69EA2510"/>
    <w:rsid w:val="69FDB73D"/>
    <w:rsid w:val="6A088546"/>
    <w:rsid w:val="6A0BF4D1"/>
    <w:rsid w:val="6A71A4AE"/>
    <w:rsid w:val="6A770D23"/>
    <w:rsid w:val="6AA10010"/>
    <w:rsid w:val="6AA2CE72"/>
    <w:rsid w:val="6AFEEF9D"/>
    <w:rsid w:val="6B095674"/>
    <w:rsid w:val="6B365F20"/>
    <w:rsid w:val="6BBB4768"/>
    <w:rsid w:val="6BC914FC"/>
    <w:rsid w:val="6BF16BE2"/>
    <w:rsid w:val="6C379D99"/>
    <w:rsid w:val="6CA87C35"/>
    <w:rsid w:val="6CABF9D4"/>
    <w:rsid w:val="6CB1F02D"/>
    <w:rsid w:val="6CB5DFB6"/>
    <w:rsid w:val="6CBE4243"/>
    <w:rsid w:val="6CF936CB"/>
    <w:rsid w:val="6D1A258E"/>
    <w:rsid w:val="6D4DA414"/>
    <w:rsid w:val="6D6324A9"/>
    <w:rsid w:val="6D74B5C9"/>
    <w:rsid w:val="6DA307EB"/>
    <w:rsid w:val="6DB56C2B"/>
    <w:rsid w:val="6DB9B9C4"/>
    <w:rsid w:val="6DE6484E"/>
    <w:rsid w:val="6E228A0B"/>
    <w:rsid w:val="6E380700"/>
    <w:rsid w:val="6E6B2173"/>
    <w:rsid w:val="6EE4CFED"/>
    <w:rsid w:val="6F235FDA"/>
    <w:rsid w:val="6F2B3CE0"/>
    <w:rsid w:val="6F3D476B"/>
    <w:rsid w:val="6F55C8F6"/>
    <w:rsid w:val="6F7766C9"/>
    <w:rsid w:val="6F8603BB"/>
    <w:rsid w:val="6F896FF1"/>
    <w:rsid w:val="6F8BE67F"/>
    <w:rsid w:val="704C1098"/>
    <w:rsid w:val="706CFDA0"/>
    <w:rsid w:val="708019A8"/>
    <w:rsid w:val="70B0B336"/>
    <w:rsid w:val="70B1C90B"/>
    <w:rsid w:val="7106988E"/>
    <w:rsid w:val="715A2ACD"/>
    <w:rsid w:val="718DD81D"/>
    <w:rsid w:val="71DAEEBD"/>
    <w:rsid w:val="71E37EBD"/>
    <w:rsid w:val="72145CA2"/>
    <w:rsid w:val="7244BE4E"/>
    <w:rsid w:val="725F80FA"/>
    <w:rsid w:val="72B8CFC8"/>
    <w:rsid w:val="7315E08F"/>
    <w:rsid w:val="733B965E"/>
    <w:rsid w:val="73547059"/>
    <w:rsid w:val="7376F8F6"/>
    <w:rsid w:val="73844F96"/>
    <w:rsid w:val="7385C962"/>
    <w:rsid w:val="73BBA65E"/>
    <w:rsid w:val="73C4EE30"/>
    <w:rsid w:val="740A0C46"/>
    <w:rsid w:val="741C0B9B"/>
    <w:rsid w:val="74489228"/>
    <w:rsid w:val="744ECF55"/>
    <w:rsid w:val="74514EC7"/>
    <w:rsid w:val="74524B71"/>
    <w:rsid w:val="745FB72D"/>
    <w:rsid w:val="747A3D29"/>
    <w:rsid w:val="747C95AF"/>
    <w:rsid w:val="7491CB8F"/>
    <w:rsid w:val="7492F272"/>
    <w:rsid w:val="749CE4A9"/>
    <w:rsid w:val="74A1370D"/>
    <w:rsid w:val="74A7C93E"/>
    <w:rsid w:val="74C4F02F"/>
    <w:rsid w:val="752199C3"/>
    <w:rsid w:val="7560CC4B"/>
    <w:rsid w:val="75D6CC26"/>
    <w:rsid w:val="75EE2853"/>
    <w:rsid w:val="75F76F33"/>
    <w:rsid w:val="762EC2D3"/>
    <w:rsid w:val="7644621F"/>
    <w:rsid w:val="766BFB0C"/>
    <w:rsid w:val="76B40013"/>
    <w:rsid w:val="76C9BCB5"/>
    <w:rsid w:val="77023F51"/>
    <w:rsid w:val="771D72B1"/>
    <w:rsid w:val="773A8400"/>
    <w:rsid w:val="7749569A"/>
    <w:rsid w:val="775229A0"/>
    <w:rsid w:val="77A45AC3"/>
    <w:rsid w:val="77AF8C18"/>
    <w:rsid w:val="77C812AB"/>
    <w:rsid w:val="77D65BC2"/>
    <w:rsid w:val="780DE13B"/>
    <w:rsid w:val="787A549C"/>
    <w:rsid w:val="788E2736"/>
    <w:rsid w:val="78AA8AD1"/>
    <w:rsid w:val="78EE9830"/>
    <w:rsid w:val="78FEA4B3"/>
    <w:rsid w:val="7916CFA2"/>
    <w:rsid w:val="7928099C"/>
    <w:rsid w:val="793F7738"/>
    <w:rsid w:val="797BD918"/>
    <w:rsid w:val="79D5C3BE"/>
    <w:rsid w:val="7A16C682"/>
    <w:rsid w:val="7A8B4D1F"/>
    <w:rsid w:val="7AA1D481"/>
    <w:rsid w:val="7AC233AC"/>
    <w:rsid w:val="7ADE9891"/>
    <w:rsid w:val="7B03CAF0"/>
    <w:rsid w:val="7B061201"/>
    <w:rsid w:val="7B446E25"/>
    <w:rsid w:val="7B4D5A10"/>
    <w:rsid w:val="7BA2CCDD"/>
    <w:rsid w:val="7BB68849"/>
    <w:rsid w:val="7BC89261"/>
    <w:rsid w:val="7C363906"/>
    <w:rsid w:val="7C364575"/>
    <w:rsid w:val="7C3753B9"/>
    <w:rsid w:val="7C3E7765"/>
    <w:rsid w:val="7CA49D71"/>
    <w:rsid w:val="7CD116A9"/>
    <w:rsid w:val="7CD79A95"/>
    <w:rsid w:val="7D37140B"/>
    <w:rsid w:val="7D67255B"/>
    <w:rsid w:val="7DD06F64"/>
    <w:rsid w:val="7DE19FB6"/>
    <w:rsid w:val="7E01BEE8"/>
    <w:rsid w:val="7E101B0A"/>
    <w:rsid w:val="7E2DCB85"/>
    <w:rsid w:val="7E6BD275"/>
    <w:rsid w:val="7E8C9A0D"/>
    <w:rsid w:val="7F13241C"/>
    <w:rsid w:val="7F9D2453"/>
    <w:rsid w:val="7FA77DED"/>
    <w:rsid w:val="7FB9A084"/>
    <w:rsid w:val="7FE3EA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4AD7CB28-6E5A-4EC9-B7E4-BCCBD9E0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spacing w:before="240" w:after="60"/>
      <w:ind w:left="1008" w:hanging="1008"/>
      <w:outlineLvl w:val="4"/>
    </w:pPr>
    <w:rPr>
      <w:rFonts w:ascii="Calibri" w:hAnsi="Calibri"/>
      <w:b/>
      <w:bCs/>
      <w:i/>
      <w:iCs/>
      <w:sz w:val="26"/>
      <w:szCs w:val="26"/>
    </w:rPr>
  </w:style>
  <w:style w:type="paragraph" w:styleId="Heading6">
    <w:name w:val="heading 6"/>
    <w:basedOn w:val="Normal"/>
    <w:next w:val="Normal"/>
    <w:uiPriority w:val="9"/>
    <w:semiHidden/>
    <w:unhideWhenUsed/>
    <w:qFormat/>
    <w:pPr>
      <w:spacing w:before="240" w:after="60"/>
      <w:ind w:left="1152" w:hanging="1152"/>
      <w:outlineLvl w:val="5"/>
    </w:pPr>
    <w:rPr>
      <w:rFonts w:ascii="Calibri" w:hAnsi="Calibri"/>
      <w:b/>
      <w:bCs/>
      <w:szCs w:val="22"/>
    </w:rPr>
  </w:style>
  <w:style w:type="paragraph" w:styleId="Heading7">
    <w:name w:val="heading 7"/>
    <w:basedOn w:val="Normal"/>
    <w:next w:val="Normal"/>
    <w:pPr>
      <w:spacing w:before="240" w:after="60"/>
      <w:ind w:left="1296" w:hanging="1296"/>
      <w:outlineLvl w:val="6"/>
    </w:pPr>
    <w:rPr>
      <w:rFonts w:ascii="Calibri" w:hAnsi="Calibri"/>
    </w:rPr>
  </w:style>
  <w:style w:type="paragraph" w:styleId="Heading8">
    <w:name w:val="heading 8"/>
    <w:basedOn w:val="Normal"/>
    <w:next w:val="Normal"/>
    <w:pPr>
      <w:spacing w:before="240" w:after="60"/>
      <w:ind w:left="1440" w:hanging="1440"/>
      <w:outlineLvl w:val="7"/>
    </w:pPr>
    <w:rPr>
      <w:rFonts w:ascii="Calibri" w:hAnsi="Calibri"/>
      <w:i/>
      <w:iCs/>
    </w:rPr>
  </w:style>
  <w:style w:type="paragraph" w:styleId="Heading9">
    <w:name w:val="heading 9"/>
    <w:basedOn w:val="Normal"/>
    <w:next w:val="Normal"/>
    <w:pPr>
      <w:spacing w:before="240" w:after="60"/>
      <w:ind w:left="1584" w:hanging="1584"/>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WWOutlineListStyle1" w:customStyle="1">
    <w:name w:val="WW_OutlineListStyle_1"/>
    <w:basedOn w:val="NoList"/>
    <w:pPr>
      <w:numPr>
        <w:numId w:val="8"/>
      </w:numPr>
    </w:pPr>
  </w:style>
  <w:style w:type="character" w:styleId="Heading1Char" w:customStyle="1">
    <w:name w:val="Heading 1 Char"/>
    <w:rPr>
      <w:b/>
      <w:color w:val="104F75"/>
      <w:sz w:val="36"/>
      <w:szCs w:val="24"/>
    </w:rPr>
  </w:style>
  <w:style w:type="character" w:styleId="Heading2Char" w:customStyle="1">
    <w:name w:val="Heading 2 Char"/>
    <w:rPr>
      <w:b/>
      <w:color w:val="104F75"/>
      <w:sz w:val="32"/>
      <w:szCs w:val="32"/>
    </w:rPr>
  </w:style>
  <w:style w:type="character" w:styleId="Heading3Char" w:customStyle="1">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styleId="TitleText" w:customStyle="1">
    <w:name w:val="TitleText"/>
    <w:basedOn w:val="Normal"/>
    <w:pPr>
      <w:spacing w:before="3600" w:line="240" w:lineRule="auto"/>
    </w:pPr>
    <w:rPr>
      <w:rFonts w:cs="Arial"/>
      <w:b/>
      <w:color w:val="104F75"/>
      <w:sz w:val="92"/>
      <w:szCs w:val="92"/>
    </w:rPr>
  </w:style>
  <w:style w:type="character" w:styleId="TitleTextChar" w:customStyle="1">
    <w:name w:val="TitleText Char"/>
    <w:rPr>
      <w:rFonts w:cs="Arial"/>
      <w:b/>
      <w:color w:val="104F75"/>
      <w:sz w:val="92"/>
      <w:szCs w:val="92"/>
    </w:rPr>
  </w:style>
  <w:style w:type="paragraph" w:styleId="SubtitleText" w:customStyle="1">
    <w:name w:val="SubtitleText"/>
    <w:basedOn w:val="Normal"/>
    <w:pPr>
      <w:spacing w:after="1520"/>
    </w:pPr>
    <w:rPr>
      <w:rFonts w:cs="Arial"/>
      <w:b/>
      <w:color w:val="104F75"/>
      <w:sz w:val="48"/>
      <w:szCs w:val="48"/>
    </w:rPr>
  </w:style>
  <w:style w:type="character" w:styleId="SubtitleTextChar" w:customStyle="1">
    <w:name w:val="SubtitleText Char"/>
    <w:rPr>
      <w:rFonts w:cs="Arial"/>
      <w:b/>
      <w:color w:val="104F75"/>
      <w:sz w:val="48"/>
      <w:szCs w:val="48"/>
    </w:rPr>
  </w:style>
  <w:style w:type="paragraph" w:styleId="ListBullet">
    <w:name w:val="List Bullet"/>
    <w:basedOn w:val="ListBullet5"/>
    <w:pPr>
      <w:numPr>
        <w:numId w:val="1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before="6000" w:after="120"/>
    </w:pPr>
  </w:style>
  <w:style w:type="character" w:styleId="CopyrightSpacingChar" w:customStyle="1">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styleId="TitleChar" w:customStyle="1">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ind w:left="1209" w:hanging="360"/>
      <w:contextualSpacing/>
    </w:pPr>
  </w:style>
  <w:style w:type="paragraph" w:styleId="ListParagraph">
    <w:name w:val="List Paragraph"/>
    <w:basedOn w:val="Normal"/>
    <w:pPr>
      <w:numPr>
        <w:numId w:val="15"/>
      </w:numPr>
      <w:contextualSpacing/>
    </w:pPr>
  </w:style>
  <w:style w:type="paragraph" w:styleId="Caption">
    <w:name w:val="caption"/>
    <w:basedOn w:val="Normal"/>
    <w:next w:val="Normal"/>
    <w:pPr>
      <w:spacing w:before="120" w:after="120"/>
      <w:jc w:val="center"/>
    </w:pPr>
    <w:rPr>
      <w:b/>
      <w:bCs/>
      <w:color w:val="000000"/>
      <w:sz w:val="20"/>
      <w:szCs w:val="20"/>
    </w:rPr>
  </w:style>
  <w:style w:type="character" w:styleId="Heading4Char" w:customStyle="1">
    <w:name w:val="Heading 4 Char"/>
    <w:rPr>
      <w:b/>
      <w:bCs/>
      <w:color w:val="104F75"/>
      <w:sz w:val="24"/>
      <w:szCs w:val="28"/>
    </w:rPr>
  </w:style>
  <w:style w:type="character" w:styleId="Heading5Char" w:customStyle="1">
    <w:name w:val="Heading 5 Char"/>
    <w:rPr>
      <w:rFonts w:ascii="Calibri" w:hAnsi="Calibri"/>
      <w:b/>
      <w:bCs/>
      <w:i/>
      <w:iCs/>
      <w:color w:val="0D0D0D"/>
      <w:sz w:val="26"/>
      <w:szCs w:val="26"/>
    </w:rPr>
  </w:style>
  <w:style w:type="character" w:styleId="Heading6Char" w:customStyle="1">
    <w:name w:val="Heading 6 Char"/>
    <w:rPr>
      <w:rFonts w:ascii="Calibri" w:hAnsi="Calibri"/>
      <w:b/>
      <w:bCs/>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iCs/>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styleId="BalloonTextChar" w:customStyle="1">
    <w:name w:val="Balloon Text Char"/>
    <w:rPr>
      <w:rFonts w:ascii="Tahoma" w:hAnsi="Tahoma" w:cs="Tahoma"/>
      <w:sz w:val="16"/>
      <w:szCs w:val="16"/>
    </w:rPr>
  </w:style>
  <w:style w:type="paragraph" w:styleId="TableRow" w:customStyle="1">
    <w:name w:val="TableRow"/>
    <w:pPr>
      <w:suppressAutoHyphens/>
      <w:spacing w:before="60" w:after="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bCs/>
      <w:sz w:val="20"/>
    </w:rPr>
  </w:style>
  <w:style w:type="paragraph" w:styleId="ColouredBoxHeadline" w:customStyle="1">
    <w:name w:val="Coloured Box Headline"/>
    <w:basedOn w:val="Normal"/>
    <w:pPr>
      <w:spacing w:before="120"/>
    </w:pPr>
    <w:rPr>
      <w:b/>
      <w:bCs/>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bCs/>
    </w:rPr>
  </w:style>
  <w:style w:type="character" w:styleId="CommentSubjectChar" w:customStyle="1">
    <w:name w:val="Comment Subject Char"/>
    <w:basedOn w:val="CommentTextChar"/>
    <w:rPr>
      <w:b/>
      <w:bCs/>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styleId="DateChar" w:customStyle="1">
    <w:name w:val="Date Char"/>
    <w:basedOn w:val="DefaultParagraphFont"/>
    <w:rPr>
      <w:rFonts w:cs="Arial"/>
      <w:b/>
      <w:bCs/>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13"/>
      </w:numPr>
      <w:tabs>
        <w:tab w:val="left" w:pos="491"/>
      </w:tabs>
      <w:contextualSpacing/>
    </w:pPr>
  </w:style>
  <w:style w:type="paragraph" w:styleId="Logos" w:customStyle="1">
    <w:name w:val="Logos"/>
    <w:basedOn w:val="Normal"/>
    <w:pPr>
      <w:pageBreakBefore/>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ind w:left="926" w:hanging="360"/>
      <w:contextualSpacing/>
    </w:pPr>
  </w:style>
  <w:style w:type="paragraph" w:styleId="DfESOutNumbered" w:customStyle="1">
    <w:name w:val="DfESOutNumbered"/>
    <w:basedOn w:val="Normal"/>
    <w:pPr>
      <w:widowControl w:val="0"/>
      <w:numPr>
        <w:numId w:val="16"/>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overflowPunct w:val="0"/>
      <w:autoSpaceDE w:val="0"/>
      <w:spacing w:line="240" w:lineRule="auto"/>
      <w:ind w:left="720" w:hanging="360"/>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suppressAutoHyphens/>
    </w:pPr>
    <w:rPr>
      <w:b/>
      <w:color w:val="104F75"/>
      <w:sz w:val="36"/>
      <w:szCs w:val="24"/>
    </w:rPr>
  </w:style>
  <w:style w:type="character" w:styleId="TOCHeaderChar" w:customStyle="1">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8"/>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hAnsi="Arial" w:cs="Arial"/>
      <w:color w:val="auto"/>
      <w:sz w:val="20"/>
    </w:rPr>
  </w:style>
  <w:style w:type="character" w:styleId="PersonalReplyStyle" w:customStyle="1">
    <w:name w:val="Personal Reply Style"/>
    <w:basedOn w:val="DefaultParagraphFont"/>
    <w:rPr>
      <w:rFonts w:ascii="Arial" w:hAnsi="Arial" w:cs="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styleId="SubtitleChar" w:customStyle="1">
    <w:name w:val="Subtitle Char"/>
    <w:basedOn w:val="DefaultParagraphFont"/>
    <w:rPr>
      <w:i/>
      <w:sz w:val="24"/>
      <w:lang w:eastAsia="en-US"/>
    </w:rPr>
  </w:style>
  <w:style w:type="paragraph" w:styleId="DfESBullets" w:customStyle="1">
    <w:name w:val="DfESBullets"/>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styleId="WWOutlineListStyle" w:customStyle="1">
    <w:name w:val="WW_OutlineListStyle"/>
    <w:basedOn w:val="NoList"/>
    <w:pPr>
      <w:numPr>
        <w:numId w:val="9"/>
      </w:numPr>
    </w:pPr>
  </w:style>
  <w:style w:type="numbering" w:styleId="LFO3" w:customStyle="1">
    <w:name w:val="LFO3"/>
    <w:basedOn w:val="NoList"/>
    <w:pPr>
      <w:numPr>
        <w:numId w:val="10"/>
      </w:numPr>
    </w:pPr>
  </w:style>
  <w:style w:type="numbering" w:styleId="LFO4" w:customStyle="1">
    <w:name w:val="LFO4"/>
    <w:basedOn w:val="NoList"/>
    <w:pPr>
      <w:numPr>
        <w:numId w:val="11"/>
      </w:numPr>
    </w:pPr>
  </w:style>
  <w:style w:type="numbering" w:styleId="LFO6" w:customStyle="1">
    <w:name w:val="LFO6"/>
    <w:basedOn w:val="NoList"/>
    <w:pPr>
      <w:numPr>
        <w:numId w:val="12"/>
      </w:numPr>
    </w:pPr>
  </w:style>
  <w:style w:type="numbering" w:styleId="LFO9" w:customStyle="1">
    <w:name w:val="LFO9"/>
    <w:basedOn w:val="NoList"/>
    <w:pPr>
      <w:numPr>
        <w:numId w:val="13"/>
      </w:numPr>
    </w:pPr>
  </w:style>
  <w:style w:type="numbering" w:styleId="LFO10" w:customStyle="1">
    <w:name w:val="LFO10"/>
    <w:basedOn w:val="NoList"/>
    <w:pPr>
      <w:numPr>
        <w:numId w:val="14"/>
      </w:numPr>
    </w:pPr>
  </w:style>
  <w:style w:type="numbering" w:styleId="LFO25" w:customStyle="1">
    <w:name w:val="LFO25"/>
    <w:basedOn w:val="NoList"/>
    <w:pPr>
      <w:numPr>
        <w:numId w:val="15"/>
      </w:numPr>
    </w:pPr>
  </w:style>
  <w:style w:type="numbering" w:styleId="LFO28" w:customStyle="1">
    <w:name w:val="LFO28"/>
    <w:basedOn w:val="NoList"/>
    <w:pPr>
      <w:numPr>
        <w:numId w:val="16"/>
      </w:numPr>
    </w:pPr>
  </w:style>
  <w:style w:type="numbering" w:styleId="LFO30" w:customStyle="1">
    <w:name w:val="LFO30"/>
    <w:basedOn w:val="NoList"/>
    <w:pPr>
      <w:numPr>
        <w:numId w:val="17"/>
      </w:numPr>
    </w:pPr>
  </w:style>
  <w:style w:type="numbering" w:styleId="LFO34" w:customStyle="1">
    <w:name w:val="LFO34"/>
    <w:basedOn w:val="NoList"/>
    <w:pPr>
      <w:numPr>
        <w:numId w:val="18"/>
      </w:numPr>
    </w:pPr>
  </w:style>
  <w:style w:type="numbering" w:styleId="LFO36" w:customStyle="1">
    <w:name w:val="LFO36"/>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4" ma:contentTypeDescription="Create a new document." ma:contentTypeScope="" ma:versionID="150d4d62de3b29d15b0dceebaa6085b5">
  <xsd:schema xmlns:xsd="http://www.w3.org/2001/XMLSchema" xmlns:xs="http://www.w3.org/2001/XMLSchema" xmlns:p="http://schemas.microsoft.com/office/2006/metadata/properties" xmlns:ns2="becc07a8-29d5-46c8-a63b-e55b299f6f10" targetNamespace="http://schemas.microsoft.com/office/2006/metadata/properties" ma:root="true" ma:fieldsID="72abc58e41f1dc0e9c25b9dacc74ad1f" ns2:_="">
    <xsd:import namespace="becc07a8-29d5-46c8-a63b-e55b299f6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4606B-808C-42D9-8F12-D1C27BADA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51E46-37C2-4F22-8D3C-BD0BD850C443}">
  <ds:schemaRefs>
    <ds:schemaRef ds:uri="http://schemas.microsoft.com/sharepoint/v3/contenttype/forms"/>
  </ds:schemaRefs>
</ds:datastoreItem>
</file>

<file path=customXml/itemProps3.xml><?xml version="1.0" encoding="utf-8"?>
<ds:datastoreItem xmlns:ds="http://schemas.openxmlformats.org/officeDocument/2006/customXml" ds:itemID="{A48BD7F9-9211-4E51-9C32-A0B2D1EE0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DfE external document template</dc:title>
  <dc:subject/>
  <dc:creator>Publishing.TEAM@education.gsi.gov.uk</dc:creator>
  <keywords/>
  <dc:description>Master-ET-v3.8</dc:description>
  <lastModifiedBy>Iain Owens</lastModifiedBy>
  <revision>5</revision>
  <lastPrinted>2021-09-15T03:47:00.0000000Z</lastPrinted>
  <dcterms:created xsi:type="dcterms:W3CDTF">2022-01-31T10:07:00.0000000Z</dcterms:created>
  <dcterms:modified xsi:type="dcterms:W3CDTF">2022-01-31T11:02:24.6270200Z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0x0101007C4724477E469640AF270FE301B8E242</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